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BF9EB" w14:textId="125C430D" w:rsidR="007D6CAB" w:rsidRPr="00CE0424" w:rsidRDefault="007D6CAB" w:rsidP="007D6CAB">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Pr="00CE0424">
        <w:tab/>
      </w:r>
      <w:r>
        <w:rPr>
          <w:sz w:val="32"/>
          <w:szCs w:val="32"/>
        </w:rPr>
        <w:t>R1-</w:t>
      </w:r>
      <w:r w:rsidR="002A108B" w:rsidRPr="002A108B">
        <w:rPr>
          <w:sz w:val="32"/>
          <w:szCs w:val="32"/>
        </w:rPr>
        <w:t>1903172</w:t>
      </w:r>
    </w:p>
    <w:p w14:paraId="60A5317D" w14:textId="06395B78" w:rsidR="00E90E49" w:rsidRDefault="007D6CAB" w:rsidP="00357380">
      <w:pPr>
        <w:pStyle w:val="3GPPHeader"/>
      </w:pPr>
      <w:r>
        <w:t>Athens</w:t>
      </w:r>
      <w:r w:rsidRPr="00CE0BF7">
        <w:t xml:space="preserve">, </w:t>
      </w:r>
      <w:r>
        <w:t>Greece</w:t>
      </w:r>
      <w:r w:rsidRPr="00CE0BF7">
        <w:t xml:space="preserve"> </w:t>
      </w:r>
      <w:r>
        <w:t>February 25</w:t>
      </w:r>
      <w:r>
        <w:rPr>
          <w:vertAlign w:val="superscript"/>
        </w:rPr>
        <w:t>th</w:t>
      </w:r>
      <w:r w:rsidRPr="00CE0BF7">
        <w:t xml:space="preserve"> – </w:t>
      </w:r>
      <w:r>
        <w:t>1</w:t>
      </w:r>
      <w:r>
        <w:rPr>
          <w:vertAlign w:val="superscript"/>
        </w:rPr>
        <w:t>st</w:t>
      </w:r>
      <w:r w:rsidRPr="00CE0BF7">
        <w:t xml:space="preserve"> </w:t>
      </w:r>
      <w:r>
        <w:t>March 2019</w:t>
      </w:r>
      <w:r w:rsidR="0041408D">
        <w:tab/>
      </w:r>
    </w:p>
    <w:p w14:paraId="6176BEB2" w14:textId="77777777" w:rsidR="00EC5ED7" w:rsidRPr="00CE0424" w:rsidRDefault="00EC5ED7" w:rsidP="00357380">
      <w:pPr>
        <w:pStyle w:val="3GPPHeader"/>
      </w:pPr>
    </w:p>
    <w:p w14:paraId="3C6869D1" w14:textId="70353C76" w:rsidR="00E90E49" w:rsidRPr="0083618F" w:rsidRDefault="00E90E49" w:rsidP="00311702">
      <w:pPr>
        <w:pStyle w:val="3GPPHeader"/>
        <w:rPr>
          <w:sz w:val="22"/>
          <w:szCs w:val="22"/>
          <w:lang w:val="en-US"/>
        </w:rPr>
      </w:pPr>
      <w:r w:rsidRPr="0083618F">
        <w:rPr>
          <w:sz w:val="22"/>
          <w:szCs w:val="22"/>
          <w:lang w:val="en-US"/>
        </w:rPr>
        <w:t>Agenda Item:</w:t>
      </w:r>
      <w:r w:rsidRPr="0083618F">
        <w:rPr>
          <w:sz w:val="22"/>
          <w:szCs w:val="22"/>
          <w:lang w:val="en-US"/>
        </w:rPr>
        <w:tab/>
      </w:r>
      <w:r w:rsidR="002F7E7A" w:rsidRPr="0083618F">
        <w:rPr>
          <w:sz w:val="22"/>
          <w:szCs w:val="22"/>
          <w:lang w:val="en-US"/>
        </w:rPr>
        <w:t>7.2.4.5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78E04E5" w:rsidR="00E90E49" w:rsidRPr="00CE0424" w:rsidRDefault="003D3C45" w:rsidP="00311702">
      <w:pPr>
        <w:pStyle w:val="3GPPHeader"/>
        <w:rPr>
          <w:sz w:val="22"/>
          <w:szCs w:val="22"/>
        </w:rPr>
      </w:pPr>
      <w:r>
        <w:rPr>
          <w:sz w:val="22"/>
          <w:szCs w:val="22"/>
        </w:rPr>
        <w:t>Title:</w:t>
      </w:r>
      <w:r w:rsidR="00E90E49" w:rsidRPr="00CE0424">
        <w:rPr>
          <w:sz w:val="22"/>
          <w:szCs w:val="22"/>
        </w:rPr>
        <w:tab/>
      </w:r>
      <w:r w:rsidR="00897BAE">
        <w:rPr>
          <w:sz w:val="22"/>
          <w:szCs w:val="22"/>
        </w:rPr>
        <w:t xml:space="preserve">Remaining details on </w:t>
      </w:r>
      <w:r w:rsidR="00941898">
        <w:rPr>
          <w:sz w:val="22"/>
          <w:szCs w:val="22"/>
        </w:rPr>
        <w:t>i</w:t>
      </w:r>
      <w:r w:rsidR="00EC28BD">
        <w:rPr>
          <w:sz w:val="22"/>
          <w:szCs w:val="22"/>
        </w:rPr>
        <w:t xml:space="preserve">n-device coexistence </w:t>
      </w:r>
      <w:r w:rsidR="00897BAE">
        <w:rPr>
          <w:sz w:val="22"/>
          <w:szCs w:val="22"/>
        </w:rPr>
        <w:t xml:space="preserve">issues </w:t>
      </w:r>
      <w:r w:rsidR="00EC28BD">
        <w:rPr>
          <w:sz w:val="22"/>
          <w:szCs w:val="22"/>
        </w:rPr>
        <w:t>for SL V2X</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618F">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8CE8486" w:rsidR="00477768" w:rsidRDefault="00EC28BD" w:rsidP="00CE0424">
      <w:pPr>
        <w:pStyle w:val="BodyText"/>
      </w:pPr>
      <w:r>
        <w:t>In RAN1#95, the following agreements have been made on the topic of in-device coexistence:</w:t>
      </w:r>
    </w:p>
    <w:tbl>
      <w:tblPr>
        <w:tblStyle w:val="TableGrid"/>
        <w:tblW w:w="0" w:type="auto"/>
        <w:tblLook w:val="04A0" w:firstRow="1" w:lastRow="0" w:firstColumn="1" w:lastColumn="0" w:noHBand="0" w:noVBand="1"/>
      </w:tblPr>
      <w:tblGrid>
        <w:gridCol w:w="9629"/>
      </w:tblGrid>
      <w:tr w:rsidR="00EC28BD" w14:paraId="067DC240" w14:textId="77777777" w:rsidTr="00EC28BD">
        <w:tc>
          <w:tcPr>
            <w:tcW w:w="9629" w:type="dxa"/>
          </w:tcPr>
          <w:p w14:paraId="6FA52BB5" w14:textId="77777777" w:rsidR="00EC28BD" w:rsidRPr="00751F84" w:rsidRDefault="00EC28BD" w:rsidP="00EC28BD">
            <w:pPr>
              <w:rPr>
                <w:rFonts w:ascii="Arial" w:hAnsi="Arial" w:cs="Arial"/>
                <w:sz w:val="20"/>
                <w:szCs w:val="20"/>
              </w:rPr>
            </w:pPr>
            <w:r w:rsidRPr="00751F84">
              <w:rPr>
                <w:rFonts w:ascii="Arial" w:hAnsi="Arial" w:cs="Arial"/>
                <w:sz w:val="20"/>
                <w:szCs w:val="20"/>
                <w:highlight w:val="green"/>
              </w:rPr>
              <w:t>Agreements</w:t>
            </w:r>
            <w:r w:rsidRPr="00751F84">
              <w:rPr>
                <w:rFonts w:ascii="Arial" w:hAnsi="Arial" w:cs="Arial"/>
                <w:sz w:val="20"/>
                <w:szCs w:val="20"/>
              </w:rPr>
              <w:t>:</w:t>
            </w:r>
          </w:p>
          <w:p w14:paraId="2E8AA662" w14:textId="77777777" w:rsidR="00EC28BD" w:rsidRPr="00751F84" w:rsidRDefault="00EC28BD" w:rsidP="00EC28BD">
            <w:pPr>
              <w:numPr>
                <w:ilvl w:val="0"/>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 xml:space="preserve">Consider solutions for sidelink coexistence for the following: </w:t>
            </w:r>
          </w:p>
          <w:p w14:paraId="181DB92C"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Tx and NR V2X Tx</w:t>
            </w:r>
          </w:p>
          <w:p w14:paraId="47558FF8"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Tx and NR V2X Rx</w:t>
            </w:r>
          </w:p>
          <w:p w14:paraId="388105C5" w14:textId="77777777" w:rsidR="00EC28BD" w:rsidRPr="00751F84" w:rsidRDefault="00EC28BD" w:rsidP="00EC28BD">
            <w:pPr>
              <w:numPr>
                <w:ilvl w:val="1"/>
                <w:numId w:val="23"/>
              </w:numPr>
              <w:overflowPunct/>
              <w:autoSpaceDE/>
              <w:autoSpaceDN/>
              <w:adjustRightInd/>
              <w:spacing w:after="0"/>
              <w:textAlignment w:val="auto"/>
              <w:rPr>
                <w:rFonts w:ascii="Arial" w:hAnsi="Arial" w:cs="Arial"/>
                <w:sz w:val="20"/>
                <w:szCs w:val="20"/>
              </w:rPr>
            </w:pPr>
            <w:r w:rsidRPr="00751F84">
              <w:rPr>
                <w:rFonts w:ascii="Arial" w:hAnsi="Arial" w:cs="Arial"/>
                <w:sz w:val="20"/>
                <w:szCs w:val="20"/>
              </w:rPr>
              <w:t>Potential LTE V2X Rx and NR V2X Tx</w:t>
            </w:r>
          </w:p>
          <w:p w14:paraId="48C726E4" w14:textId="288020DA" w:rsidR="00EC28BD" w:rsidRPr="00751F84" w:rsidRDefault="00EC28BD" w:rsidP="00EC28BD">
            <w:pPr>
              <w:numPr>
                <w:ilvl w:val="0"/>
                <w:numId w:val="23"/>
              </w:numPr>
              <w:overflowPunct/>
              <w:autoSpaceDE/>
              <w:autoSpaceDN/>
              <w:adjustRightInd/>
              <w:spacing w:after="0"/>
              <w:textAlignment w:val="auto"/>
              <w:rPr>
                <w:rFonts w:ascii="Arial" w:hAnsi="Arial" w:cs="Arial"/>
                <w:sz w:val="20"/>
                <w:szCs w:val="20"/>
                <w:lang w:eastAsia="x-none"/>
              </w:rPr>
            </w:pPr>
            <w:r w:rsidRPr="00751F84">
              <w:rPr>
                <w:rFonts w:ascii="Arial" w:hAnsi="Arial" w:cs="Arial"/>
                <w:sz w:val="20"/>
                <w:szCs w:val="20"/>
              </w:rPr>
              <w:t xml:space="preserve">FFS the case of potential LTE V2X Rx and NR V2X Rx, e.g., whether or not it can be handled </w:t>
            </w:r>
            <w:r w:rsidR="0073268D">
              <w:rPr>
                <w:rFonts w:ascii="Arial" w:hAnsi="Arial" w:cs="Arial"/>
                <w:sz w:val="20"/>
                <w:szCs w:val="20"/>
              </w:rPr>
              <w:t xml:space="preserve">by </w:t>
            </w:r>
            <w:r w:rsidRPr="00751F84">
              <w:rPr>
                <w:rFonts w:ascii="Arial" w:hAnsi="Arial" w:cs="Arial"/>
                <w:sz w:val="20"/>
                <w:szCs w:val="20"/>
              </w:rPr>
              <w:t>implementation</w:t>
            </w:r>
          </w:p>
          <w:p w14:paraId="1B2BC7E1" w14:textId="77777777" w:rsidR="00EC28BD" w:rsidRPr="00751F84" w:rsidRDefault="00EC28BD" w:rsidP="00EC28BD">
            <w:pPr>
              <w:rPr>
                <w:rFonts w:ascii="Arial" w:hAnsi="Arial" w:cs="Arial"/>
                <w:sz w:val="20"/>
                <w:szCs w:val="20"/>
                <w:lang w:eastAsia="x-none"/>
              </w:rPr>
            </w:pPr>
          </w:p>
          <w:p w14:paraId="02BEA3E2" w14:textId="77777777" w:rsidR="00EC28BD" w:rsidRPr="00751F84" w:rsidRDefault="00EC28BD" w:rsidP="00EC28BD">
            <w:pPr>
              <w:rPr>
                <w:rFonts w:ascii="Arial" w:hAnsi="Arial" w:cs="Arial"/>
                <w:sz w:val="20"/>
                <w:szCs w:val="20"/>
                <w:lang w:eastAsia="x-none"/>
              </w:rPr>
            </w:pPr>
            <w:r w:rsidRPr="00751F84">
              <w:rPr>
                <w:rFonts w:ascii="Arial" w:hAnsi="Arial" w:cs="Arial"/>
                <w:sz w:val="20"/>
                <w:szCs w:val="20"/>
                <w:highlight w:val="green"/>
                <w:lang w:eastAsia="x-none"/>
              </w:rPr>
              <w:t>Agreements</w:t>
            </w:r>
            <w:r w:rsidRPr="00751F84">
              <w:rPr>
                <w:rFonts w:ascii="Arial" w:hAnsi="Arial" w:cs="Arial"/>
                <w:sz w:val="20"/>
                <w:szCs w:val="20"/>
                <w:lang w:eastAsia="x-none"/>
              </w:rPr>
              <w:t>:</w:t>
            </w:r>
          </w:p>
          <w:p w14:paraId="66A1D3D1" w14:textId="77777777" w:rsidR="00EC28BD" w:rsidRPr="00751F84" w:rsidRDefault="00EC28BD" w:rsidP="00EC28BD">
            <w:pPr>
              <w:rPr>
                <w:rFonts w:ascii="Arial" w:hAnsi="Arial" w:cs="Arial"/>
                <w:sz w:val="20"/>
                <w:szCs w:val="20"/>
                <w:lang w:eastAsia="zh-CN"/>
              </w:rPr>
            </w:pPr>
            <w:r w:rsidRPr="00751F84">
              <w:rPr>
                <w:rFonts w:ascii="Arial" w:hAnsi="Arial" w:cs="Arial"/>
                <w:sz w:val="20"/>
                <w:szCs w:val="20"/>
                <w:lang w:eastAsia="zh-CN"/>
              </w:rPr>
              <w:t>RAN1 will identify both TDM and FDM solutions for coexistence. The specific support for each solution is FFS.</w:t>
            </w:r>
          </w:p>
          <w:p w14:paraId="6947D40A" w14:textId="77777777" w:rsidR="00EC28BD" w:rsidRPr="00751F84" w:rsidRDefault="00EC28BD" w:rsidP="00EC28BD">
            <w:pPr>
              <w:rPr>
                <w:rFonts w:ascii="Arial" w:hAnsi="Arial" w:cs="Arial"/>
                <w:sz w:val="20"/>
                <w:szCs w:val="20"/>
                <w:lang w:eastAsia="zh-CN"/>
              </w:rPr>
            </w:pPr>
            <w:r w:rsidRPr="00751F84">
              <w:rPr>
                <w:rFonts w:ascii="Arial" w:hAnsi="Arial" w:cs="Arial"/>
                <w:sz w:val="20"/>
                <w:szCs w:val="20"/>
                <w:lang w:eastAsia="zh-CN"/>
              </w:rPr>
              <w:t xml:space="preserve">For FDM solutions: </w:t>
            </w:r>
          </w:p>
          <w:p w14:paraId="039E6FAF" w14:textId="77777777" w:rsidR="00EC28BD" w:rsidRPr="00751F84" w:rsidRDefault="00EC28BD" w:rsidP="00EC28BD">
            <w:pPr>
              <w:pStyle w:val="ListParagraph"/>
              <w:numPr>
                <w:ilvl w:val="0"/>
                <w:numId w:val="24"/>
              </w:numPr>
              <w:overflowPunct/>
              <w:autoSpaceDE/>
              <w:autoSpaceDN/>
              <w:adjustRightInd/>
              <w:spacing w:after="180"/>
              <w:contextualSpacing/>
              <w:textAlignment w:val="auto"/>
              <w:rPr>
                <w:rFonts w:ascii="Arial" w:hAnsi="Arial" w:cs="Arial"/>
                <w:sz w:val="20"/>
                <w:szCs w:val="20"/>
              </w:rPr>
            </w:pPr>
            <w:r w:rsidRPr="00751F84">
              <w:rPr>
                <w:rFonts w:ascii="Arial" w:hAnsi="Arial" w:cs="Arial"/>
                <w:sz w:val="20"/>
                <w:szCs w:val="20"/>
              </w:rPr>
              <w:t>For both dynamic and semi-static power allocation solutions, RAN1 assumes synchronization between NR and LTE V2X sidelinks, for a NR V2X UE when NR and LTE V2X sidelinks are intra-band</w:t>
            </w:r>
          </w:p>
          <w:p w14:paraId="702F3D33" w14:textId="77777777" w:rsidR="00EC28BD" w:rsidRPr="00751F84" w:rsidRDefault="00EC28BD" w:rsidP="00EC28BD">
            <w:pPr>
              <w:pStyle w:val="ListParagraph"/>
              <w:numPr>
                <w:ilvl w:val="0"/>
                <w:numId w:val="24"/>
              </w:numPr>
              <w:overflowPunct/>
              <w:autoSpaceDE/>
              <w:autoSpaceDN/>
              <w:adjustRightInd/>
              <w:spacing w:after="180"/>
              <w:contextualSpacing/>
              <w:textAlignment w:val="auto"/>
              <w:rPr>
                <w:rFonts w:ascii="Arial" w:hAnsi="Arial" w:cs="Arial"/>
                <w:sz w:val="20"/>
                <w:szCs w:val="20"/>
              </w:rPr>
            </w:pPr>
            <w:r w:rsidRPr="00751F84">
              <w:rPr>
                <w:rFonts w:ascii="Arial" w:hAnsi="Arial" w:cs="Arial"/>
                <w:sz w:val="20"/>
                <w:szCs w:val="20"/>
              </w:rPr>
              <w:t>The case of inter-band is FFS</w:t>
            </w:r>
          </w:p>
          <w:p w14:paraId="61C2BA9B" w14:textId="5F4BC94F" w:rsidR="00EC28BD" w:rsidRPr="00751F84" w:rsidRDefault="00EC28BD" w:rsidP="00EC28BD">
            <w:pPr>
              <w:pStyle w:val="BodyText"/>
              <w:rPr>
                <w:rFonts w:cs="Arial"/>
                <w:sz w:val="20"/>
                <w:szCs w:val="20"/>
              </w:rPr>
            </w:pPr>
            <w:r w:rsidRPr="00751F84">
              <w:rPr>
                <w:rFonts w:cs="Arial"/>
                <w:sz w:val="20"/>
                <w:szCs w:val="20"/>
              </w:rPr>
              <w:t>Note: If the identified solutions can be applied to systems that are not synchronized, then RAN1 may revisit this assumption.</w:t>
            </w:r>
          </w:p>
        </w:tc>
      </w:tr>
    </w:tbl>
    <w:p w14:paraId="3AF04AE4" w14:textId="3401AABC" w:rsidR="00EC28BD" w:rsidRDefault="00EC28BD" w:rsidP="00CE0424">
      <w:pPr>
        <w:pStyle w:val="BodyText"/>
      </w:pPr>
    </w:p>
    <w:p w14:paraId="3EFFBA20" w14:textId="16670CF2" w:rsidR="007B389D" w:rsidRDefault="007B389D" w:rsidP="00CE0424">
      <w:pPr>
        <w:pStyle w:val="BodyText"/>
      </w:pPr>
      <w:r>
        <w:t>In RAN1#ah1901, the following agreements were reached.</w:t>
      </w:r>
    </w:p>
    <w:tbl>
      <w:tblPr>
        <w:tblStyle w:val="TableGrid"/>
        <w:tblW w:w="0" w:type="auto"/>
        <w:tblLook w:val="04A0" w:firstRow="1" w:lastRow="0" w:firstColumn="1" w:lastColumn="0" w:noHBand="0" w:noVBand="1"/>
      </w:tblPr>
      <w:tblGrid>
        <w:gridCol w:w="9629"/>
      </w:tblGrid>
      <w:tr w:rsidR="007B389D" w14:paraId="06D06AF3" w14:textId="77777777" w:rsidTr="007B389D">
        <w:tc>
          <w:tcPr>
            <w:tcW w:w="9629" w:type="dxa"/>
          </w:tcPr>
          <w:p w14:paraId="04A3A800" w14:textId="77777777" w:rsidR="007B389D" w:rsidRPr="006B0EF3" w:rsidRDefault="007B389D" w:rsidP="007B389D">
            <w:pPr>
              <w:rPr>
                <w:b/>
                <w:szCs w:val="26"/>
                <w:lang w:eastAsia="x-none"/>
              </w:rPr>
            </w:pPr>
            <w:r w:rsidRPr="006B0EF3">
              <w:rPr>
                <w:szCs w:val="26"/>
                <w:highlight w:val="green"/>
                <w:lang w:eastAsia="x-none"/>
              </w:rPr>
              <w:t>Agreements</w:t>
            </w:r>
            <w:r w:rsidRPr="006B0EF3">
              <w:rPr>
                <w:b/>
                <w:szCs w:val="26"/>
                <w:lang w:eastAsia="x-none"/>
              </w:rPr>
              <w:t>:</w:t>
            </w:r>
          </w:p>
          <w:p w14:paraId="1570B290" w14:textId="77777777" w:rsidR="007B389D" w:rsidRPr="006B0EF3" w:rsidRDefault="007B389D" w:rsidP="007B389D">
            <w:pPr>
              <w:pStyle w:val="ListParagraph"/>
              <w:numPr>
                <w:ilvl w:val="0"/>
                <w:numId w:val="37"/>
              </w:numPr>
              <w:overflowPunct/>
              <w:autoSpaceDE/>
              <w:autoSpaceDN/>
              <w:adjustRightInd/>
              <w:spacing w:after="180"/>
              <w:contextualSpacing/>
              <w:textAlignment w:val="auto"/>
              <w:rPr>
                <w:color w:val="000000"/>
                <w:szCs w:val="26"/>
              </w:rPr>
            </w:pPr>
            <w:r w:rsidRPr="006B0EF3">
              <w:rPr>
                <w:color w:val="000000"/>
                <w:szCs w:val="26"/>
              </w:rPr>
              <w:t>For TDM solutions for in-device coexistence between LTE and NR V2X:</w:t>
            </w:r>
          </w:p>
          <w:p w14:paraId="1F7EF862"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Time Alignment</w:t>
            </w:r>
          </w:p>
          <w:p w14:paraId="650B98AC" w14:textId="77777777" w:rsidR="007B389D" w:rsidRPr="006B0EF3" w:rsidRDefault="007B389D" w:rsidP="007B389D">
            <w:pPr>
              <w:pStyle w:val="ListParagraph"/>
              <w:numPr>
                <w:ilvl w:val="2"/>
                <w:numId w:val="37"/>
              </w:numPr>
              <w:overflowPunct/>
              <w:autoSpaceDE/>
              <w:autoSpaceDN/>
              <w:adjustRightInd/>
              <w:spacing w:after="180"/>
              <w:contextualSpacing/>
              <w:textAlignment w:val="auto"/>
              <w:rPr>
                <w:color w:val="000000"/>
                <w:szCs w:val="26"/>
              </w:rPr>
            </w:pPr>
            <w:r w:rsidRPr="006B0EF3">
              <w:rPr>
                <w:rFonts w:eastAsia="DengXian"/>
                <w:szCs w:val="26"/>
                <w:lang w:eastAsia="zh-CN"/>
              </w:rPr>
              <w:t xml:space="preserve">Subframe boundary </w:t>
            </w:r>
            <w:r w:rsidRPr="006B0EF3">
              <w:rPr>
                <w:rFonts w:eastAsia="DengXian" w:hint="eastAsia"/>
                <w:szCs w:val="26"/>
                <w:lang w:eastAsia="zh-CN"/>
              </w:rPr>
              <w:t>alignment</w:t>
            </w:r>
            <w:r w:rsidRPr="006B0EF3">
              <w:rPr>
                <w:rFonts w:eastAsia="DengXian"/>
                <w:szCs w:val="26"/>
                <w:lang w:eastAsia="zh-CN"/>
              </w:rPr>
              <w:t xml:space="preserve"> is required between LTE and NR V2X sidelinks</w:t>
            </w:r>
          </w:p>
          <w:p w14:paraId="08ECECDC" w14:textId="77777777" w:rsidR="007B389D" w:rsidRPr="006B0EF3" w:rsidRDefault="007B389D" w:rsidP="007B389D">
            <w:pPr>
              <w:pStyle w:val="ListParagraph"/>
              <w:numPr>
                <w:ilvl w:val="2"/>
                <w:numId w:val="37"/>
              </w:numPr>
              <w:overflowPunct/>
              <w:autoSpaceDE/>
              <w:autoSpaceDN/>
              <w:adjustRightInd/>
              <w:spacing w:after="180"/>
              <w:contextualSpacing/>
              <w:textAlignment w:val="auto"/>
              <w:rPr>
                <w:color w:val="000000"/>
                <w:szCs w:val="26"/>
              </w:rPr>
            </w:pPr>
            <w:r w:rsidRPr="006B0EF3">
              <w:rPr>
                <w:rFonts w:eastAsia="DengXian"/>
                <w:szCs w:val="26"/>
                <w:lang w:eastAsia="zh-CN"/>
              </w:rPr>
              <w:t>Both LTE and NR V2X sidelinks are aware of the time resource index (e.g., DFN for LTE) in both carriers</w:t>
            </w:r>
          </w:p>
          <w:p w14:paraId="04475665" w14:textId="77777777" w:rsidR="007B389D" w:rsidRPr="006B0EF3" w:rsidRDefault="007B389D" w:rsidP="007B389D">
            <w:pPr>
              <w:rPr>
                <w:b/>
                <w:szCs w:val="26"/>
                <w:lang w:eastAsia="x-none"/>
              </w:rPr>
            </w:pPr>
            <w:r w:rsidRPr="006B0EF3">
              <w:rPr>
                <w:szCs w:val="26"/>
                <w:highlight w:val="green"/>
                <w:lang w:eastAsia="x-none"/>
              </w:rPr>
              <w:t>Agreements</w:t>
            </w:r>
            <w:r w:rsidRPr="006B0EF3">
              <w:rPr>
                <w:b/>
                <w:szCs w:val="26"/>
                <w:lang w:eastAsia="x-none"/>
              </w:rPr>
              <w:t>:</w:t>
            </w:r>
          </w:p>
          <w:p w14:paraId="3FCA0315" w14:textId="77777777" w:rsidR="007B389D" w:rsidRPr="006B0EF3" w:rsidRDefault="007B389D" w:rsidP="007B389D">
            <w:pPr>
              <w:pStyle w:val="ListParagraph"/>
              <w:numPr>
                <w:ilvl w:val="0"/>
                <w:numId w:val="37"/>
              </w:numPr>
              <w:overflowPunct/>
              <w:autoSpaceDE/>
              <w:autoSpaceDN/>
              <w:adjustRightInd/>
              <w:spacing w:after="180"/>
              <w:contextualSpacing/>
              <w:textAlignment w:val="auto"/>
              <w:rPr>
                <w:color w:val="000000"/>
                <w:szCs w:val="26"/>
              </w:rPr>
            </w:pPr>
            <w:r w:rsidRPr="006B0EF3">
              <w:rPr>
                <w:color w:val="000000"/>
                <w:szCs w:val="26"/>
              </w:rPr>
              <w:t>For long term time scale TDM solutions for in-device coexistence between LTE and NR V2X:</w:t>
            </w:r>
          </w:p>
          <w:p w14:paraId="43E524C8" w14:textId="77777777" w:rsidR="007B389D" w:rsidRPr="006B0EF3" w:rsidRDefault="007B389D" w:rsidP="007B389D">
            <w:pPr>
              <w:pStyle w:val="ListParagraph"/>
              <w:numPr>
                <w:ilvl w:val="1"/>
                <w:numId w:val="38"/>
              </w:numPr>
              <w:overflowPunct/>
              <w:autoSpaceDE/>
              <w:autoSpaceDN/>
              <w:adjustRightInd/>
              <w:spacing w:after="180"/>
              <w:contextualSpacing/>
              <w:textAlignment w:val="auto"/>
              <w:rPr>
                <w:szCs w:val="26"/>
                <w:lang w:eastAsia="zh-CN"/>
              </w:rPr>
            </w:pPr>
            <w:r w:rsidRPr="006B0EF3">
              <w:rPr>
                <w:color w:val="000000"/>
                <w:szCs w:val="26"/>
              </w:rPr>
              <w:lastRenderedPageBreak/>
              <w:t>For a UE with coexistence impact, non-overlapping</w:t>
            </w:r>
            <w:r w:rsidRPr="006B0EF3">
              <w:rPr>
                <w:szCs w:val="26"/>
                <w:lang w:eastAsia="zh-CN"/>
              </w:rPr>
              <w:t xml:space="preserve"> (in time domain) resource pools are (pre-)configured for NR V2X and LTE V2X sidelinks</w:t>
            </w:r>
          </w:p>
          <w:p w14:paraId="48C0D290" w14:textId="77777777" w:rsidR="007B389D" w:rsidRPr="006B0EF3" w:rsidRDefault="007B389D" w:rsidP="007B389D">
            <w:pPr>
              <w:pStyle w:val="ListParagraph"/>
              <w:numPr>
                <w:ilvl w:val="2"/>
                <w:numId w:val="37"/>
              </w:numPr>
              <w:overflowPunct/>
              <w:autoSpaceDE/>
              <w:autoSpaceDN/>
              <w:adjustRightInd/>
              <w:spacing w:after="180"/>
              <w:contextualSpacing/>
              <w:textAlignment w:val="auto"/>
              <w:rPr>
                <w:szCs w:val="26"/>
                <w:lang w:eastAsia="zh-CN"/>
              </w:rPr>
            </w:pPr>
            <w:r w:rsidRPr="006B0EF3">
              <w:rPr>
                <w:szCs w:val="26"/>
              </w:rPr>
              <w:t>No information is exchanged between LTE and NR sidelinks within the UE</w:t>
            </w:r>
          </w:p>
          <w:p w14:paraId="285ACA36" w14:textId="77777777" w:rsidR="007B389D" w:rsidRPr="006B0EF3" w:rsidRDefault="007B389D" w:rsidP="007B389D">
            <w:pPr>
              <w:pStyle w:val="ListParagraph"/>
              <w:numPr>
                <w:ilvl w:val="0"/>
                <w:numId w:val="37"/>
              </w:numPr>
              <w:overflowPunct/>
              <w:autoSpaceDE/>
              <w:autoSpaceDN/>
              <w:adjustRightInd/>
              <w:spacing w:after="180"/>
              <w:contextualSpacing/>
              <w:textAlignment w:val="auto"/>
              <w:rPr>
                <w:szCs w:val="26"/>
              </w:rPr>
            </w:pPr>
            <w:r w:rsidRPr="006B0EF3">
              <w:rPr>
                <w:szCs w:val="26"/>
              </w:rPr>
              <w:t>Long term time scale TDM solution is feasible from RAN1 point of view</w:t>
            </w:r>
          </w:p>
          <w:p w14:paraId="3E0C42AC"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szCs w:val="26"/>
              </w:rPr>
            </w:pPr>
            <w:r w:rsidRPr="006B0EF3">
              <w:rPr>
                <w:szCs w:val="26"/>
              </w:rPr>
              <w:t xml:space="preserve">Note: although feasible, it is expected that such a solution may have impact on latency, reliability and data rate requirements for some applications </w:t>
            </w:r>
          </w:p>
          <w:p w14:paraId="77669E24"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szCs w:val="26"/>
              </w:rPr>
            </w:pPr>
            <w:r w:rsidRPr="006B0EF3">
              <w:rPr>
                <w:szCs w:val="26"/>
              </w:rPr>
              <w:t>No additional modifications to LTE specifications are needed</w:t>
            </w:r>
          </w:p>
          <w:p w14:paraId="36CDCD3B" w14:textId="77777777" w:rsidR="007B389D" w:rsidRPr="006B0EF3" w:rsidRDefault="007B389D" w:rsidP="007B389D">
            <w:pPr>
              <w:rPr>
                <w:b/>
                <w:szCs w:val="26"/>
                <w:lang w:eastAsia="x-none"/>
              </w:rPr>
            </w:pPr>
            <w:r w:rsidRPr="006B0EF3">
              <w:rPr>
                <w:szCs w:val="26"/>
                <w:highlight w:val="green"/>
                <w:lang w:eastAsia="x-none"/>
              </w:rPr>
              <w:t>Agreements</w:t>
            </w:r>
            <w:r w:rsidRPr="006B0EF3">
              <w:rPr>
                <w:b/>
                <w:szCs w:val="26"/>
                <w:lang w:eastAsia="x-none"/>
              </w:rPr>
              <w:t>:</w:t>
            </w:r>
          </w:p>
          <w:p w14:paraId="1047178B" w14:textId="77777777" w:rsidR="007B389D" w:rsidRPr="006B0EF3" w:rsidRDefault="007B389D" w:rsidP="007B389D">
            <w:pPr>
              <w:rPr>
                <w:szCs w:val="26"/>
              </w:rPr>
            </w:pPr>
            <w:r w:rsidRPr="006B0EF3">
              <w:rPr>
                <w:szCs w:val="26"/>
              </w:rPr>
              <w:t>Assuming SPS scheduling (mode -3 or mode-4) for LTE V2X, for short time scale TDM solutions for in-device coexistence for V2X,</w:t>
            </w:r>
          </w:p>
          <w:p w14:paraId="125EF170" w14:textId="77777777" w:rsidR="007B389D" w:rsidRPr="006B0EF3" w:rsidRDefault="007B389D" w:rsidP="007B389D">
            <w:pPr>
              <w:pStyle w:val="ListParagraph"/>
              <w:numPr>
                <w:ilvl w:val="0"/>
                <w:numId w:val="37"/>
              </w:numPr>
              <w:overflowPunct/>
              <w:autoSpaceDE/>
              <w:autoSpaceDN/>
              <w:adjustRightInd/>
              <w:spacing w:after="180"/>
              <w:contextualSpacing/>
              <w:textAlignment w:val="auto"/>
              <w:rPr>
                <w:color w:val="000000"/>
                <w:szCs w:val="26"/>
              </w:rPr>
            </w:pPr>
            <w:r w:rsidRPr="006B0EF3">
              <w:rPr>
                <w:color w:val="000000"/>
                <w:szCs w:val="26"/>
              </w:rPr>
              <w:t xml:space="preserve">For each occurrence of Tx/Tx overlap, one RAT is prioritized over another </w:t>
            </w:r>
          </w:p>
          <w:p w14:paraId="5F61032B"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This requires some information exchange between LTE and NR sidelinks within the UE</w:t>
            </w:r>
          </w:p>
          <w:p w14:paraId="27C36C47"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FFS: whether the information exchange between LTE and NR sidelinks can support this requirement</w:t>
            </w:r>
          </w:p>
          <w:p w14:paraId="0F1DA99A"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FFS: if there is impact to RAN1 LTE specification with this agreement</w:t>
            </w:r>
          </w:p>
          <w:p w14:paraId="00002934"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FFS: whether this solution can be up to UE implementation</w:t>
            </w:r>
          </w:p>
          <w:p w14:paraId="21396278" w14:textId="77777777" w:rsidR="007B389D" w:rsidRPr="006B0EF3" w:rsidRDefault="007B389D" w:rsidP="007B389D">
            <w:pPr>
              <w:pStyle w:val="ListParagraph"/>
              <w:numPr>
                <w:ilvl w:val="0"/>
                <w:numId w:val="37"/>
              </w:numPr>
              <w:overflowPunct/>
              <w:autoSpaceDE/>
              <w:autoSpaceDN/>
              <w:adjustRightInd/>
              <w:spacing w:after="180"/>
              <w:contextualSpacing/>
              <w:textAlignment w:val="auto"/>
              <w:rPr>
                <w:color w:val="000000"/>
                <w:szCs w:val="26"/>
              </w:rPr>
            </w:pPr>
            <w:r w:rsidRPr="006B0EF3">
              <w:rPr>
                <w:color w:val="000000"/>
                <w:szCs w:val="26"/>
              </w:rPr>
              <w:t xml:space="preserve">For each occurrence of Tx/Rx overlap, one RAT is prioritized over another </w:t>
            </w:r>
          </w:p>
          <w:p w14:paraId="31836060"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This requires some information exchange between LTE and NR sidelinks within the UE</w:t>
            </w:r>
          </w:p>
          <w:p w14:paraId="18150EC8"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FFS: if there is impact to RAN1 LTE specification with this agreement</w:t>
            </w:r>
          </w:p>
          <w:p w14:paraId="7AE4C234"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color w:val="000000"/>
                <w:szCs w:val="26"/>
              </w:rPr>
            </w:pPr>
            <w:r w:rsidRPr="006B0EF3">
              <w:rPr>
                <w:color w:val="000000"/>
                <w:szCs w:val="26"/>
              </w:rPr>
              <w:t>FFS: whether this solution can be up to UE implementation</w:t>
            </w:r>
          </w:p>
          <w:p w14:paraId="34FB43E5" w14:textId="77777777" w:rsidR="007B389D" w:rsidRPr="006B0EF3" w:rsidRDefault="007B389D" w:rsidP="007B389D">
            <w:pPr>
              <w:pStyle w:val="ListParagraph"/>
              <w:numPr>
                <w:ilvl w:val="1"/>
                <w:numId w:val="37"/>
              </w:numPr>
              <w:overflowPunct/>
              <w:autoSpaceDE/>
              <w:autoSpaceDN/>
              <w:adjustRightInd/>
              <w:spacing w:after="180"/>
              <w:contextualSpacing/>
              <w:textAlignment w:val="auto"/>
              <w:rPr>
                <w:szCs w:val="26"/>
              </w:rPr>
            </w:pPr>
            <w:r w:rsidRPr="006B0EF3">
              <w:rPr>
                <w:color w:val="000000"/>
                <w:szCs w:val="26"/>
              </w:rPr>
              <w:t>FFS: If determination of priority for Rx operation is feasible and whether the information exchange between LTE and NR sidelinks can support this requirement</w:t>
            </w:r>
          </w:p>
          <w:p w14:paraId="26687D89" w14:textId="77777777" w:rsidR="007B389D" w:rsidRPr="006B0EF3" w:rsidRDefault="007B389D" w:rsidP="007B389D">
            <w:pPr>
              <w:rPr>
                <w:b/>
                <w:szCs w:val="26"/>
                <w:lang w:eastAsia="x-none"/>
              </w:rPr>
            </w:pPr>
            <w:r w:rsidRPr="006B0EF3">
              <w:rPr>
                <w:szCs w:val="26"/>
                <w:highlight w:val="green"/>
                <w:lang w:eastAsia="x-none"/>
              </w:rPr>
              <w:t>Agreements</w:t>
            </w:r>
            <w:r w:rsidRPr="006B0EF3">
              <w:rPr>
                <w:b/>
                <w:szCs w:val="26"/>
                <w:lang w:eastAsia="x-none"/>
              </w:rPr>
              <w:t>:</w:t>
            </w:r>
          </w:p>
          <w:p w14:paraId="11A4C657" w14:textId="77777777" w:rsidR="007B389D" w:rsidRPr="006B0EF3" w:rsidRDefault="007B389D" w:rsidP="007B389D">
            <w:pPr>
              <w:pStyle w:val="ListParagraph"/>
              <w:numPr>
                <w:ilvl w:val="0"/>
                <w:numId w:val="24"/>
              </w:numPr>
              <w:overflowPunct/>
              <w:autoSpaceDE/>
              <w:autoSpaceDN/>
              <w:adjustRightInd/>
              <w:spacing w:after="180"/>
              <w:contextualSpacing/>
              <w:textAlignment w:val="auto"/>
              <w:rPr>
                <w:szCs w:val="26"/>
              </w:rPr>
            </w:pPr>
            <w:r w:rsidRPr="006B0EF3">
              <w:rPr>
                <w:szCs w:val="26"/>
              </w:rPr>
              <w:t>Inter-band FDM Solutions for coexistence</w:t>
            </w:r>
          </w:p>
          <w:p w14:paraId="7959BBB6" w14:textId="77777777" w:rsidR="007B389D" w:rsidRPr="006B0EF3" w:rsidRDefault="007B389D" w:rsidP="007B389D">
            <w:pPr>
              <w:pStyle w:val="ListParagraph"/>
              <w:numPr>
                <w:ilvl w:val="1"/>
                <w:numId w:val="24"/>
              </w:numPr>
              <w:overflowPunct/>
              <w:autoSpaceDE/>
              <w:autoSpaceDN/>
              <w:adjustRightInd/>
              <w:spacing w:after="180"/>
              <w:contextualSpacing/>
              <w:textAlignment w:val="auto"/>
              <w:rPr>
                <w:szCs w:val="26"/>
              </w:rPr>
            </w:pPr>
            <w:r w:rsidRPr="006B0EF3">
              <w:rPr>
                <w:szCs w:val="26"/>
              </w:rPr>
              <w:t xml:space="preserve">For static power </w:t>
            </w:r>
            <w:r w:rsidRPr="006B0EF3">
              <w:rPr>
                <w:rFonts w:eastAsia="DengXian"/>
                <w:szCs w:val="26"/>
                <w:lang w:eastAsia="zh-CN"/>
              </w:rPr>
              <w:t>assignment of Pc,max for each carrier</w:t>
            </w:r>
          </w:p>
          <w:p w14:paraId="02833998" w14:textId="77777777" w:rsidR="007B389D" w:rsidRPr="006B0EF3" w:rsidRDefault="007B389D" w:rsidP="007B389D">
            <w:pPr>
              <w:pStyle w:val="ListParagraph"/>
              <w:numPr>
                <w:ilvl w:val="2"/>
                <w:numId w:val="24"/>
              </w:numPr>
              <w:overflowPunct/>
              <w:autoSpaceDE/>
              <w:autoSpaceDN/>
              <w:adjustRightInd/>
              <w:spacing w:after="180"/>
              <w:contextualSpacing/>
              <w:textAlignment w:val="auto"/>
              <w:rPr>
                <w:szCs w:val="26"/>
              </w:rPr>
            </w:pPr>
            <w:bookmarkStart w:id="0" w:name="_Ref534810133"/>
            <w:r w:rsidRPr="006B0EF3">
              <w:rPr>
                <w:rFonts w:eastAsia="DengXian"/>
                <w:szCs w:val="26"/>
                <w:lang w:eastAsia="zh-CN"/>
              </w:rPr>
              <w:t>Synchronization is not assumed for</w:t>
            </w:r>
            <w:r w:rsidRPr="006B0EF3">
              <w:rPr>
                <w:szCs w:val="26"/>
              </w:rPr>
              <w:t xml:space="preserve"> </w:t>
            </w:r>
            <w:r w:rsidRPr="006B0EF3">
              <w:rPr>
                <w:rFonts w:eastAsia="DengXian"/>
                <w:szCs w:val="26"/>
                <w:lang w:eastAsia="zh-CN"/>
              </w:rPr>
              <w:t>inter-band coexistence of NR sidelink and LTE sidelink.</w:t>
            </w:r>
            <w:bookmarkEnd w:id="0"/>
          </w:p>
          <w:p w14:paraId="7F453516" w14:textId="77777777" w:rsidR="007B389D" w:rsidRPr="006B0EF3" w:rsidRDefault="007B389D" w:rsidP="007B389D">
            <w:pPr>
              <w:pStyle w:val="ListParagraph"/>
              <w:numPr>
                <w:ilvl w:val="2"/>
                <w:numId w:val="24"/>
              </w:numPr>
              <w:overflowPunct/>
              <w:autoSpaceDE/>
              <w:autoSpaceDN/>
              <w:adjustRightInd/>
              <w:spacing w:after="180"/>
              <w:contextualSpacing/>
              <w:textAlignment w:val="auto"/>
              <w:rPr>
                <w:szCs w:val="26"/>
              </w:rPr>
            </w:pPr>
            <w:r w:rsidRPr="006B0EF3">
              <w:rPr>
                <w:rFonts w:eastAsia="DengXian"/>
                <w:szCs w:val="26"/>
                <w:lang w:eastAsia="zh-CN"/>
              </w:rPr>
              <w:t>This FDM solution is feasible for resolution of Tx/Tx coexistence conflicts</w:t>
            </w:r>
          </w:p>
          <w:p w14:paraId="1D128807" w14:textId="77777777" w:rsidR="007B389D" w:rsidRPr="006B0EF3" w:rsidRDefault="007B389D" w:rsidP="007B389D">
            <w:pPr>
              <w:pStyle w:val="ListParagraph"/>
              <w:numPr>
                <w:ilvl w:val="2"/>
                <w:numId w:val="24"/>
              </w:numPr>
              <w:overflowPunct/>
              <w:autoSpaceDE/>
              <w:autoSpaceDN/>
              <w:adjustRightInd/>
              <w:spacing w:after="180"/>
              <w:contextualSpacing/>
              <w:textAlignment w:val="auto"/>
              <w:rPr>
                <w:rFonts w:eastAsia="DengXian"/>
                <w:szCs w:val="26"/>
                <w:lang w:eastAsia="zh-CN"/>
              </w:rPr>
            </w:pPr>
            <w:r w:rsidRPr="006B0EF3">
              <w:rPr>
                <w:rFonts w:eastAsia="DengXian"/>
                <w:szCs w:val="26"/>
                <w:lang w:eastAsia="zh-CN"/>
              </w:rPr>
              <w:t>If the band separation is large enough (based on RAN4 indication), then this FDM solution for coexistence is feasible for Tx/Rx coexistence</w:t>
            </w:r>
          </w:p>
          <w:p w14:paraId="6AF948D6" w14:textId="77777777" w:rsidR="007B389D" w:rsidRPr="006B0EF3" w:rsidRDefault="007B389D" w:rsidP="007B389D">
            <w:pPr>
              <w:pStyle w:val="ListParagraph"/>
              <w:numPr>
                <w:ilvl w:val="2"/>
                <w:numId w:val="24"/>
              </w:numPr>
              <w:overflowPunct/>
              <w:autoSpaceDE/>
              <w:autoSpaceDN/>
              <w:adjustRightInd/>
              <w:spacing w:after="180"/>
              <w:contextualSpacing/>
              <w:textAlignment w:val="auto"/>
              <w:rPr>
                <w:szCs w:val="26"/>
              </w:rPr>
            </w:pPr>
            <w:r w:rsidRPr="006B0EF3">
              <w:rPr>
                <w:rFonts w:eastAsia="DengXian"/>
                <w:szCs w:val="26"/>
                <w:lang w:eastAsia="zh-CN"/>
              </w:rPr>
              <w:t>If the band separation is NOT large enough, then this FDM solution is not feasible for resolution of Tx/Rx coexistence conflicts</w:t>
            </w:r>
          </w:p>
          <w:p w14:paraId="786C20D7" w14:textId="77777777" w:rsidR="007B389D" w:rsidRPr="006B0EF3" w:rsidRDefault="007B389D" w:rsidP="007B389D">
            <w:pPr>
              <w:pStyle w:val="ListParagraph"/>
              <w:numPr>
                <w:ilvl w:val="1"/>
                <w:numId w:val="24"/>
              </w:numPr>
              <w:overflowPunct/>
              <w:autoSpaceDE/>
              <w:autoSpaceDN/>
              <w:adjustRightInd/>
              <w:spacing w:after="180"/>
              <w:contextualSpacing/>
              <w:textAlignment w:val="auto"/>
              <w:rPr>
                <w:szCs w:val="26"/>
              </w:rPr>
            </w:pPr>
            <w:r w:rsidRPr="006B0EF3">
              <w:rPr>
                <w:szCs w:val="26"/>
              </w:rPr>
              <w:t xml:space="preserve">For dynamic power sharing between carriers, </w:t>
            </w:r>
          </w:p>
          <w:p w14:paraId="550A4A47" w14:textId="14E9FE1D" w:rsidR="007B389D" w:rsidRDefault="007B389D" w:rsidP="007B389D">
            <w:pPr>
              <w:pStyle w:val="ListParagraph"/>
              <w:numPr>
                <w:ilvl w:val="2"/>
                <w:numId w:val="24"/>
              </w:numPr>
              <w:overflowPunct/>
              <w:autoSpaceDE/>
              <w:autoSpaceDN/>
              <w:adjustRightInd/>
              <w:spacing w:after="180"/>
              <w:contextualSpacing/>
              <w:textAlignment w:val="auto"/>
            </w:pPr>
            <w:r w:rsidRPr="006B0EF3">
              <w:rPr>
                <w:szCs w:val="26"/>
              </w:rPr>
              <w:t>FFS details of FDM solutions and whether they are feasible</w:t>
            </w:r>
          </w:p>
        </w:tc>
      </w:tr>
    </w:tbl>
    <w:p w14:paraId="034C3308" w14:textId="455D736D" w:rsidR="00EC28BD" w:rsidRDefault="00EC28BD" w:rsidP="009D1EBD">
      <w:pPr>
        <w:pStyle w:val="BodyText"/>
        <w:spacing w:before="240"/>
      </w:pPr>
      <w:bookmarkStart w:id="1" w:name="_GoBack"/>
      <w:bookmarkEnd w:id="1"/>
      <w:r>
        <w:lastRenderedPageBreak/>
        <w:t xml:space="preserve">In the present contribution we </w:t>
      </w:r>
      <w:r w:rsidR="00754758">
        <w:t xml:space="preserve">present </w:t>
      </w:r>
      <w:r>
        <w:t xml:space="preserve">further discussion on several aspects of solutions for </w:t>
      </w:r>
      <w:r w:rsidR="00413ECC">
        <w:t xml:space="preserve">the </w:t>
      </w:r>
      <w:r>
        <w:t>in-device coexistence.</w:t>
      </w:r>
    </w:p>
    <w:p w14:paraId="020415C4" w14:textId="7A74BADB" w:rsidR="004000E8" w:rsidRDefault="00230D18" w:rsidP="00CE0424">
      <w:pPr>
        <w:pStyle w:val="Heading1"/>
      </w:pPr>
      <w:bookmarkStart w:id="2" w:name="_Ref178064866"/>
      <w:r>
        <w:t>2</w:t>
      </w:r>
      <w:r>
        <w:tab/>
      </w:r>
      <w:bookmarkEnd w:id="2"/>
      <w:r w:rsidR="00754758">
        <w:t>Mechanisms for in-device coexistence</w:t>
      </w:r>
    </w:p>
    <w:p w14:paraId="43E504B8" w14:textId="656D3EEE" w:rsidR="00715A08" w:rsidRPr="00863A68" w:rsidRDefault="00715A08" w:rsidP="0083618F">
      <w:pPr>
        <w:jc w:val="both"/>
        <w:rPr>
          <w:rFonts w:cs="Arial"/>
        </w:rPr>
      </w:pPr>
      <w:r w:rsidRPr="0083618F">
        <w:rPr>
          <w:rFonts w:ascii="Arial" w:hAnsi="Arial" w:cs="Arial"/>
        </w:rPr>
        <w:t xml:space="preserve">Given that both TDM-based and FDM-based solutions are agreed to be supported by RAN1, the relevant question is whether every UE needs to support both solutions. To this end we believe that it is up to UE to decide which solution to support, depending on its capability. </w:t>
      </w:r>
    </w:p>
    <w:p w14:paraId="5D79E9AE" w14:textId="183084D3" w:rsidR="00715A08" w:rsidRPr="00863A68" w:rsidRDefault="00715A08" w:rsidP="00715A08">
      <w:pPr>
        <w:pStyle w:val="Proposal"/>
        <w:overflowPunct/>
        <w:autoSpaceDE/>
        <w:autoSpaceDN/>
        <w:adjustRightInd/>
        <w:spacing w:line="259" w:lineRule="auto"/>
        <w:jc w:val="left"/>
        <w:textAlignment w:val="auto"/>
        <w:rPr>
          <w:rFonts w:cs="Arial"/>
          <w:lang w:val="en-US"/>
        </w:rPr>
      </w:pPr>
      <w:bookmarkStart w:id="3" w:name="_Toc1149964"/>
      <w:r w:rsidRPr="00863A68">
        <w:rPr>
          <w:rFonts w:cs="Arial"/>
          <w:lang w:val="en-US"/>
        </w:rPr>
        <w:t>The support of TDM-based and/or FDM-based solution is based on UE capability.</w:t>
      </w:r>
      <w:bookmarkEnd w:id="3"/>
    </w:p>
    <w:p w14:paraId="7C4FF6FF" w14:textId="6208FB7B" w:rsidR="0015264C" w:rsidRPr="0083618F" w:rsidRDefault="0015264C" w:rsidP="0083618F">
      <w:pPr>
        <w:jc w:val="both"/>
        <w:rPr>
          <w:rFonts w:cs="Arial"/>
          <w:lang w:val="en-US"/>
        </w:rPr>
      </w:pPr>
      <w:r w:rsidRPr="0083618F">
        <w:rPr>
          <w:rFonts w:ascii="Arial" w:hAnsi="Arial" w:cs="Arial"/>
          <w:lang w:val="en-US"/>
        </w:rPr>
        <w:t>In some cases, the UE can report its capability to the network and the network can configure whether a TDM-based or FD</w:t>
      </w:r>
      <w:r w:rsidR="00C15E03">
        <w:rPr>
          <w:rFonts w:ascii="Arial" w:hAnsi="Arial" w:cs="Arial"/>
          <w:lang w:val="en-US"/>
        </w:rPr>
        <w:t>M</w:t>
      </w:r>
      <w:r w:rsidRPr="0083618F">
        <w:rPr>
          <w:rFonts w:ascii="Arial" w:hAnsi="Arial" w:cs="Arial"/>
          <w:lang w:val="en-US"/>
        </w:rPr>
        <w:t xml:space="preserve">-based </w:t>
      </w:r>
      <w:r w:rsidR="00C15E03">
        <w:rPr>
          <w:rFonts w:ascii="Arial" w:hAnsi="Arial" w:cs="Arial"/>
          <w:lang w:val="en-US"/>
        </w:rPr>
        <w:t xml:space="preserve">solution </w:t>
      </w:r>
      <w:r w:rsidRPr="0083618F">
        <w:rPr>
          <w:rFonts w:ascii="Arial" w:hAnsi="Arial" w:cs="Arial"/>
          <w:lang w:val="en-US"/>
        </w:rPr>
        <w:t xml:space="preserve">should be supported in the UE, depending on both the UE capability and </w:t>
      </w:r>
      <w:r>
        <w:rPr>
          <w:rFonts w:ascii="Arial" w:hAnsi="Arial" w:cs="Arial"/>
          <w:lang w:val="en-US"/>
        </w:rPr>
        <w:t xml:space="preserve">other aspects such as the </w:t>
      </w:r>
      <w:r w:rsidRPr="0083618F">
        <w:rPr>
          <w:rFonts w:ascii="Arial" w:hAnsi="Arial" w:cs="Arial"/>
          <w:lang w:val="en-US"/>
        </w:rPr>
        <w:t xml:space="preserve">resource </w:t>
      </w:r>
      <w:r>
        <w:rPr>
          <w:rFonts w:ascii="Arial" w:hAnsi="Arial" w:cs="Arial"/>
          <w:lang w:val="en-US"/>
        </w:rPr>
        <w:t>pool configurations</w:t>
      </w:r>
      <w:r w:rsidRPr="0083618F">
        <w:rPr>
          <w:rFonts w:ascii="Arial" w:hAnsi="Arial" w:cs="Arial"/>
          <w:lang w:val="en-US"/>
        </w:rPr>
        <w:t xml:space="preserve"> in the network.</w:t>
      </w:r>
    </w:p>
    <w:p w14:paraId="2B141458" w14:textId="523C8C81" w:rsidR="00715A08" w:rsidRPr="0083618F" w:rsidRDefault="0015264C" w:rsidP="0083618F">
      <w:pPr>
        <w:pStyle w:val="Proposal"/>
        <w:overflowPunct/>
        <w:autoSpaceDE/>
        <w:autoSpaceDN/>
        <w:adjustRightInd/>
        <w:spacing w:line="259" w:lineRule="auto"/>
        <w:textAlignment w:val="auto"/>
        <w:rPr>
          <w:rFonts w:cs="Arial"/>
          <w:lang w:val="en-US"/>
        </w:rPr>
      </w:pPr>
      <w:bookmarkStart w:id="4" w:name="_Toc1149965"/>
      <w:r>
        <w:rPr>
          <w:rFonts w:cs="Arial"/>
          <w:lang w:val="en-US"/>
        </w:rPr>
        <w:lastRenderedPageBreak/>
        <w:t>UEs in a network can report their capability to the network to assist the network in configuring a TDM-based or FDM-based approach for the UEs</w:t>
      </w:r>
      <w:r w:rsidRPr="00C77738">
        <w:rPr>
          <w:rFonts w:cs="Arial"/>
          <w:lang w:val="en-US"/>
        </w:rPr>
        <w:t>.</w:t>
      </w:r>
      <w:bookmarkEnd w:id="4"/>
    </w:p>
    <w:p w14:paraId="71C3A24B" w14:textId="4BF1F01B" w:rsidR="00F63950" w:rsidRDefault="00230D18" w:rsidP="00F63950">
      <w:pPr>
        <w:pStyle w:val="Heading2"/>
      </w:pPr>
      <w:bookmarkStart w:id="5" w:name="_Ref534208729"/>
      <w:r>
        <w:t>2.1</w:t>
      </w:r>
      <w:r>
        <w:tab/>
      </w:r>
      <w:r w:rsidR="00790799" w:rsidRPr="000F7F25">
        <w:t>TDM-based solution</w:t>
      </w:r>
      <w:bookmarkEnd w:id="5"/>
    </w:p>
    <w:p w14:paraId="0013EBB8" w14:textId="7E3D1CE9" w:rsidR="00790799" w:rsidRDefault="00950836" w:rsidP="00790799">
      <w:pPr>
        <w:pStyle w:val="TF"/>
        <w:jc w:val="both"/>
        <w:rPr>
          <w:b w:val="0"/>
          <w:lang w:val="en-GB"/>
        </w:rPr>
      </w:pPr>
      <w:r>
        <w:rPr>
          <w:b w:val="0"/>
        </w:rPr>
        <w:t>In our view,</w:t>
      </w:r>
      <w:r w:rsidR="00790799">
        <w:rPr>
          <w:b w:val="0"/>
          <w:lang w:val="en-GB"/>
        </w:rPr>
        <w:t xml:space="preserve"> long-term time-scale coordination is more suitable for periodic type of traffics such as traffic of safety-related services, where the UE can expect some regular patterns of packet arrivals from the higher layers and therefore can plan the transmissions in each RAT. This type of coordination is hard to achieve for non-periodic and latency-critical packets, which are expected to be more common in the advanced services supported by NR V2X. In this case short-term solutions are more suitable and here the issue of overlapping in time of SL transmissions from the two RATs is critical. </w:t>
      </w:r>
    </w:p>
    <w:p w14:paraId="1746998F" w14:textId="77777777" w:rsidR="00790799" w:rsidRPr="00E62A6F" w:rsidRDefault="00790799" w:rsidP="00790799">
      <w:pPr>
        <w:pStyle w:val="Observation"/>
        <w:overflowPunct/>
        <w:autoSpaceDE/>
        <w:autoSpaceDN/>
        <w:adjustRightInd/>
        <w:spacing w:line="259" w:lineRule="auto"/>
        <w:jc w:val="left"/>
        <w:textAlignment w:val="auto"/>
        <w:rPr>
          <w:lang w:val="en-US"/>
        </w:rPr>
      </w:pPr>
      <w:bookmarkStart w:id="6" w:name="_Toc528954275"/>
      <w:bookmarkStart w:id="7" w:name="_Toc1055548"/>
      <w:r w:rsidRPr="00E62A6F">
        <w:rPr>
          <w:lang w:val="en-US"/>
        </w:rPr>
        <w:t>Both long-term and short-term coordination solutions are needed.</w:t>
      </w:r>
      <w:bookmarkEnd w:id="6"/>
      <w:bookmarkEnd w:id="7"/>
    </w:p>
    <w:p w14:paraId="0A7DC0C5" w14:textId="274E3A51" w:rsidR="00790799" w:rsidRPr="00216D5A" w:rsidRDefault="002C30CA" w:rsidP="00C10D1C">
      <w:pPr>
        <w:jc w:val="both"/>
        <w:rPr>
          <w:rFonts w:ascii="Arial" w:hAnsi="Arial"/>
          <w:lang w:eastAsia="x-none"/>
        </w:rPr>
      </w:pPr>
      <w:r w:rsidRPr="00964ACB">
        <w:rPr>
          <w:rFonts w:ascii="Arial" w:hAnsi="Arial"/>
          <w:lang w:eastAsia="x-none"/>
        </w:rPr>
        <w:t>Furthermore, in previous RAN1 meeting, it has been agreed that</w:t>
      </w:r>
      <w:r w:rsidR="00964ACB">
        <w:rPr>
          <w:rFonts w:ascii="Arial" w:hAnsi="Arial"/>
          <w:lang w:eastAsia="x-none"/>
        </w:rPr>
        <w:t xml:space="preserve"> for</w:t>
      </w:r>
      <w:r w:rsidRPr="00964ACB">
        <w:rPr>
          <w:rFonts w:ascii="Arial" w:hAnsi="Arial"/>
          <w:lang w:eastAsia="x-none"/>
        </w:rPr>
        <w:t xml:space="preserve"> </w:t>
      </w:r>
      <w:r w:rsidR="00964ACB" w:rsidRPr="00964ACB">
        <w:rPr>
          <w:rFonts w:ascii="Arial" w:hAnsi="Arial"/>
          <w:lang w:eastAsia="x-none"/>
        </w:rPr>
        <w:t>SPS scheduling (mode -3 or mode-4) for LTE V2X, for short time scale TDM solutions</w:t>
      </w:r>
      <w:r w:rsidR="00561BE6">
        <w:rPr>
          <w:rFonts w:ascii="Arial" w:hAnsi="Arial"/>
          <w:lang w:eastAsia="x-none"/>
        </w:rPr>
        <w:t xml:space="preserve"> and either Tx/Tx or Tx/Rx overlap, one RAT is prioritized over another RAT. </w:t>
      </w:r>
      <w:r w:rsidR="00216D5A">
        <w:rPr>
          <w:rFonts w:ascii="Arial" w:hAnsi="Arial"/>
          <w:lang w:eastAsia="x-none"/>
        </w:rPr>
        <w:t>Given the safety criticality of V2X application, i</w:t>
      </w:r>
      <w:r w:rsidR="00790799" w:rsidRPr="00216D5A">
        <w:rPr>
          <w:rFonts w:ascii="Arial" w:hAnsi="Arial"/>
          <w:lang w:eastAsia="x-none"/>
        </w:rPr>
        <w:t xml:space="preserve">t is </w:t>
      </w:r>
      <w:r w:rsidR="00216D5A">
        <w:rPr>
          <w:rFonts w:ascii="Arial" w:hAnsi="Arial"/>
          <w:lang w:eastAsia="x-none"/>
        </w:rPr>
        <w:t>important</w:t>
      </w:r>
      <w:r w:rsidR="00790799" w:rsidRPr="00216D5A">
        <w:rPr>
          <w:rFonts w:ascii="Arial" w:hAnsi="Arial"/>
          <w:lang w:eastAsia="x-none"/>
        </w:rPr>
        <w:t xml:space="preserve"> to define </w:t>
      </w:r>
      <w:r w:rsidR="00216D5A">
        <w:rPr>
          <w:rFonts w:ascii="Arial" w:hAnsi="Arial"/>
          <w:lang w:eastAsia="x-none"/>
        </w:rPr>
        <w:t>s</w:t>
      </w:r>
      <w:r w:rsidR="00790799" w:rsidRPr="00216D5A">
        <w:rPr>
          <w:rFonts w:ascii="Arial" w:hAnsi="Arial"/>
          <w:lang w:eastAsia="x-none"/>
        </w:rPr>
        <w:t>ome prioritization rules based on QoS parameters such as priority of the packets to be transmitted</w:t>
      </w:r>
      <w:r w:rsidR="00216D5A">
        <w:rPr>
          <w:rFonts w:ascii="Arial" w:hAnsi="Arial"/>
          <w:lang w:eastAsia="x-none"/>
        </w:rPr>
        <w:t>/received</w:t>
      </w:r>
      <w:r w:rsidR="00790799" w:rsidRPr="00216D5A">
        <w:rPr>
          <w:rFonts w:ascii="Arial" w:hAnsi="Arial"/>
          <w:lang w:eastAsia="x-none"/>
        </w:rPr>
        <w:t xml:space="preserve"> in the two RATs or how congested the RATs are</w:t>
      </w:r>
      <w:r w:rsidR="0080063E">
        <w:rPr>
          <w:rFonts w:ascii="Arial" w:hAnsi="Arial"/>
          <w:lang w:eastAsia="x-none"/>
        </w:rPr>
        <w:t xml:space="preserve"> in case of equal priority</w:t>
      </w:r>
      <w:r w:rsidR="00790799" w:rsidRPr="00216D5A">
        <w:rPr>
          <w:rFonts w:ascii="Arial" w:hAnsi="Arial"/>
          <w:lang w:eastAsia="x-none"/>
        </w:rPr>
        <w:t xml:space="preserve">. However, we believe that it is not possible to define such rules now </w:t>
      </w:r>
      <w:r w:rsidR="00EF1F3A" w:rsidRPr="00216D5A">
        <w:rPr>
          <w:rFonts w:ascii="Arial" w:hAnsi="Arial"/>
          <w:lang w:eastAsia="x-none"/>
        </w:rPr>
        <w:t>unless</w:t>
      </w:r>
      <w:r w:rsidR="00790799" w:rsidRPr="00216D5A">
        <w:rPr>
          <w:rFonts w:ascii="Arial" w:hAnsi="Arial"/>
          <w:lang w:eastAsia="x-none"/>
        </w:rPr>
        <w:t xml:space="preserve"> the QoS framework for NR V2X has been developed</w:t>
      </w:r>
      <w:r w:rsidR="00C15C11">
        <w:rPr>
          <w:rFonts w:ascii="Arial" w:hAnsi="Arial"/>
          <w:lang w:eastAsia="x-none"/>
        </w:rPr>
        <w:t xml:space="preserve"> by RAN2</w:t>
      </w:r>
      <w:r w:rsidR="00790799" w:rsidRPr="00216D5A">
        <w:rPr>
          <w:rFonts w:ascii="Arial" w:hAnsi="Arial"/>
          <w:lang w:eastAsia="x-none"/>
        </w:rPr>
        <w:t>.</w:t>
      </w:r>
      <w:r w:rsidR="00C15C11">
        <w:rPr>
          <w:rFonts w:ascii="Arial" w:hAnsi="Arial"/>
          <w:lang w:eastAsia="x-none"/>
        </w:rPr>
        <w:t xml:space="preserve"> Furthermore, it is important that RAN2 develops a</w:t>
      </w:r>
      <w:r w:rsidR="00B323D9">
        <w:rPr>
          <w:rFonts w:ascii="Arial" w:hAnsi="Arial"/>
          <w:lang w:eastAsia="x-none"/>
        </w:rPr>
        <w:t xml:space="preserve">n </w:t>
      </w:r>
      <w:r w:rsidR="00022C21">
        <w:rPr>
          <w:rFonts w:ascii="Arial" w:hAnsi="Arial"/>
          <w:lang w:eastAsia="x-none"/>
        </w:rPr>
        <w:t>inter-RAT priority mapping/comparing criterion</w:t>
      </w:r>
      <w:r w:rsidR="00B323D9">
        <w:rPr>
          <w:rFonts w:ascii="Arial" w:hAnsi="Arial"/>
          <w:lang w:eastAsia="x-none"/>
        </w:rPr>
        <w:t xml:space="preserve">. </w:t>
      </w:r>
      <w:r w:rsidR="00790799" w:rsidRPr="00216D5A">
        <w:rPr>
          <w:rFonts w:ascii="Arial" w:hAnsi="Arial"/>
          <w:lang w:eastAsia="x-none"/>
        </w:rPr>
        <w:t xml:space="preserve"> </w:t>
      </w:r>
    </w:p>
    <w:p w14:paraId="15590115" w14:textId="77786B81" w:rsidR="00790799" w:rsidRPr="00B11EC3" w:rsidRDefault="00790799" w:rsidP="009B11C1">
      <w:pPr>
        <w:pStyle w:val="Observation"/>
        <w:rPr>
          <w:lang w:val="en-US"/>
        </w:rPr>
      </w:pPr>
      <w:bookmarkStart w:id="8" w:name="_Toc528954278"/>
      <w:bookmarkStart w:id="9" w:name="_Toc1055549"/>
      <w:r w:rsidRPr="00E62A6F">
        <w:rPr>
          <w:lang w:val="en-US"/>
        </w:rPr>
        <w:t xml:space="preserve">RAT prioritization for TDM-based coexistence is only </w:t>
      </w:r>
      <w:bookmarkEnd w:id="8"/>
      <w:r w:rsidR="00B11EC3">
        <w:t>considered by RAN1</w:t>
      </w:r>
      <w:r w:rsidR="009B11C1">
        <w:t xml:space="preserve"> once the QoS framework and related priority mapping is developed by RAN2.</w:t>
      </w:r>
      <w:bookmarkEnd w:id="9"/>
      <w:r w:rsidR="009B11C1">
        <w:t xml:space="preserve"> </w:t>
      </w:r>
    </w:p>
    <w:p w14:paraId="61C13483" w14:textId="232BD93F" w:rsidR="00B11EC3" w:rsidRPr="00C10D1C" w:rsidRDefault="00B11EC3" w:rsidP="00C10D1C">
      <w:pPr>
        <w:jc w:val="both"/>
        <w:rPr>
          <w:rFonts w:ascii="Arial" w:hAnsi="Arial"/>
          <w:lang w:eastAsia="x-none"/>
        </w:rPr>
      </w:pPr>
      <w:r w:rsidRPr="00C10D1C">
        <w:rPr>
          <w:rFonts w:ascii="Arial" w:hAnsi="Arial"/>
          <w:lang w:eastAsia="x-none"/>
        </w:rPr>
        <w:t xml:space="preserve">Therefore, we propose to send </w:t>
      </w:r>
      <w:proofErr w:type="gramStart"/>
      <w:r w:rsidRPr="00C10D1C">
        <w:rPr>
          <w:rFonts w:ascii="Arial" w:hAnsi="Arial"/>
          <w:lang w:eastAsia="x-none"/>
        </w:rPr>
        <w:t>a</w:t>
      </w:r>
      <w:r w:rsidR="00C10D1C">
        <w:rPr>
          <w:rFonts w:ascii="Arial" w:hAnsi="Arial"/>
          <w:lang w:eastAsia="x-none"/>
        </w:rPr>
        <w:t>n</w:t>
      </w:r>
      <w:proofErr w:type="gramEnd"/>
      <w:r w:rsidRPr="00C10D1C">
        <w:rPr>
          <w:rFonts w:ascii="Arial" w:hAnsi="Arial"/>
          <w:lang w:eastAsia="x-none"/>
        </w:rPr>
        <w:t xml:space="preserve"> LS to RAN2 to ask the feasibility of such inter-RAT Tx or </w:t>
      </w:r>
      <w:r w:rsidR="00C15300" w:rsidRPr="00C10D1C">
        <w:rPr>
          <w:rFonts w:ascii="Arial" w:hAnsi="Arial"/>
          <w:lang w:eastAsia="x-none"/>
        </w:rPr>
        <w:t xml:space="preserve">Rx </w:t>
      </w:r>
      <w:r w:rsidRPr="00C10D1C">
        <w:rPr>
          <w:rFonts w:ascii="Arial" w:hAnsi="Arial"/>
          <w:lang w:eastAsia="x-none"/>
        </w:rPr>
        <w:t>prioritization</w:t>
      </w:r>
      <w:r w:rsidR="00C15300" w:rsidRPr="00C10D1C">
        <w:rPr>
          <w:rFonts w:ascii="Arial" w:hAnsi="Arial"/>
          <w:lang w:eastAsia="x-none"/>
        </w:rPr>
        <w:t>.</w:t>
      </w:r>
    </w:p>
    <w:p w14:paraId="00100ECD" w14:textId="4D58F609" w:rsidR="00C15300" w:rsidRDefault="00C15300" w:rsidP="00C15300">
      <w:pPr>
        <w:pStyle w:val="Proposal"/>
      </w:pPr>
      <w:bookmarkStart w:id="10" w:name="_Toc1149966"/>
      <w:r>
        <w:t>Send an LS to RAN2 asking about the feasibility of inter-RAT prioritization</w:t>
      </w:r>
      <w:r w:rsidR="00C2015A">
        <w:t>.</w:t>
      </w:r>
      <w:bookmarkEnd w:id="10"/>
    </w:p>
    <w:p w14:paraId="74D3540A" w14:textId="36148F9D" w:rsidR="004054D8" w:rsidRDefault="00092718" w:rsidP="003D4893">
      <w:pPr>
        <w:jc w:val="both"/>
        <w:rPr>
          <w:rFonts w:ascii="Arial" w:hAnsi="Arial"/>
          <w:lang w:eastAsia="x-none"/>
        </w:rPr>
      </w:pPr>
      <w:r w:rsidRPr="00344F3E">
        <w:rPr>
          <w:rFonts w:ascii="Arial" w:hAnsi="Arial"/>
          <w:lang w:eastAsia="x-none"/>
        </w:rPr>
        <w:t>Furthermore, according to LTE specification,</w:t>
      </w:r>
      <w:r w:rsidR="008302F4" w:rsidRPr="00344F3E">
        <w:rPr>
          <w:rFonts w:ascii="Arial" w:hAnsi="Arial"/>
          <w:lang w:eastAsia="x-none"/>
        </w:rPr>
        <w:t xml:space="preserve"> in case of mode-3</w:t>
      </w:r>
      <w:r w:rsidR="00CC0258">
        <w:rPr>
          <w:rFonts w:ascii="Arial" w:hAnsi="Arial"/>
          <w:lang w:eastAsia="x-none"/>
        </w:rPr>
        <w:t xml:space="preserve"> and mode-4</w:t>
      </w:r>
      <w:r w:rsidR="008302F4" w:rsidRPr="00344F3E">
        <w:rPr>
          <w:rFonts w:ascii="Arial" w:hAnsi="Arial"/>
          <w:lang w:eastAsia="x-none"/>
        </w:rPr>
        <w:t xml:space="preserve"> SPS</w:t>
      </w:r>
      <w:r w:rsidR="00EF66BB">
        <w:rPr>
          <w:rFonts w:ascii="Arial" w:hAnsi="Arial"/>
          <w:lang w:eastAsia="x-none"/>
        </w:rPr>
        <w:t>,</w:t>
      </w:r>
      <w:r w:rsidR="00CC0258">
        <w:rPr>
          <w:rFonts w:ascii="Arial" w:hAnsi="Arial"/>
          <w:lang w:eastAsia="x-none"/>
        </w:rPr>
        <w:t xml:space="preserve"> a UE </w:t>
      </w:r>
      <w:r w:rsidR="00F5281A">
        <w:rPr>
          <w:rFonts w:ascii="Arial" w:hAnsi="Arial"/>
          <w:lang w:eastAsia="x-none"/>
        </w:rPr>
        <w:t xml:space="preserve">can </w:t>
      </w:r>
      <w:r w:rsidR="00CC0258">
        <w:rPr>
          <w:rFonts w:ascii="Arial" w:hAnsi="Arial"/>
          <w:lang w:eastAsia="x-none"/>
        </w:rPr>
        <w:t>skip the grant</w:t>
      </w:r>
      <w:r w:rsidR="006B2952">
        <w:rPr>
          <w:rFonts w:ascii="Arial" w:hAnsi="Arial"/>
          <w:lang w:eastAsia="x-none"/>
        </w:rPr>
        <w:t>. Therefore,</w:t>
      </w:r>
      <w:r w:rsidR="00AE65AD">
        <w:rPr>
          <w:rFonts w:ascii="Arial" w:hAnsi="Arial"/>
          <w:lang w:eastAsia="x-none"/>
        </w:rPr>
        <w:t xml:space="preserve"> a UE </w:t>
      </w:r>
      <w:r w:rsidR="00F5281A">
        <w:rPr>
          <w:rFonts w:ascii="Arial" w:hAnsi="Arial"/>
          <w:lang w:eastAsia="x-none"/>
        </w:rPr>
        <w:t>shall</w:t>
      </w:r>
      <w:r w:rsidR="00AE65AD">
        <w:rPr>
          <w:rFonts w:ascii="Arial" w:hAnsi="Arial"/>
          <w:lang w:eastAsia="x-none"/>
        </w:rPr>
        <w:t xml:space="preserve"> </w:t>
      </w:r>
      <w:r w:rsidR="00B55BE7">
        <w:rPr>
          <w:rFonts w:ascii="Arial" w:hAnsi="Arial"/>
          <w:lang w:eastAsia="x-none"/>
        </w:rPr>
        <w:t xml:space="preserve">skip the LTE grant in case there is a higher </w:t>
      </w:r>
      <w:r w:rsidR="004054D8">
        <w:rPr>
          <w:rFonts w:ascii="Arial" w:hAnsi="Arial"/>
          <w:lang w:eastAsia="x-none"/>
        </w:rPr>
        <w:t xml:space="preserve">priority transmission or reception to be done by NR RAT. </w:t>
      </w:r>
    </w:p>
    <w:p w14:paraId="07957945" w14:textId="56E4D534" w:rsidR="003A3BF3" w:rsidRPr="00344F3E" w:rsidRDefault="006D21B5" w:rsidP="00D47D64">
      <w:pPr>
        <w:pStyle w:val="Proposal"/>
      </w:pPr>
      <w:bookmarkStart w:id="11" w:name="_Toc1149967"/>
      <w:r>
        <w:t xml:space="preserve">No RAN1 LTE specification change is required </w:t>
      </w:r>
      <w:r w:rsidR="0018585B">
        <w:t>by defining inter-RAT prioritization.</w:t>
      </w:r>
      <w:bookmarkEnd w:id="11"/>
      <w:r w:rsidR="0018585B">
        <w:t xml:space="preserve"> </w:t>
      </w:r>
      <w:r w:rsidR="00B55BE7">
        <w:t xml:space="preserve"> </w:t>
      </w:r>
    </w:p>
    <w:p w14:paraId="68E38BB6" w14:textId="584E48DD" w:rsidR="00C2015A" w:rsidRPr="00433BB0" w:rsidRDefault="0063285C" w:rsidP="00433BB0">
      <w:pPr>
        <w:jc w:val="both"/>
        <w:rPr>
          <w:rFonts w:ascii="Arial" w:hAnsi="Arial"/>
          <w:lang w:eastAsia="x-none"/>
        </w:rPr>
      </w:pPr>
      <w:r w:rsidRPr="00433BB0">
        <w:rPr>
          <w:rFonts w:ascii="Arial" w:hAnsi="Arial"/>
          <w:lang w:eastAsia="x-none"/>
        </w:rPr>
        <w:t xml:space="preserve">Furthermore, such solution also </w:t>
      </w:r>
      <w:r w:rsidR="002D72B3" w:rsidRPr="00433BB0">
        <w:rPr>
          <w:rFonts w:ascii="Arial" w:hAnsi="Arial"/>
          <w:lang w:eastAsia="x-none"/>
        </w:rPr>
        <w:t>requires</w:t>
      </w:r>
      <w:r w:rsidRPr="00433BB0">
        <w:rPr>
          <w:rFonts w:ascii="Arial" w:hAnsi="Arial"/>
          <w:lang w:eastAsia="x-none"/>
        </w:rPr>
        <w:t xml:space="preserve"> inter-RAT (intra-UE) signalling</w:t>
      </w:r>
      <w:r w:rsidR="002D72B3" w:rsidRPr="00433BB0">
        <w:rPr>
          <w:rFonts w:ascii="Arial" w:hAnsi="Arial"/>
          <w:lang w:eastAsia="x-none"/>
        </w:rPr>
        <w:t xml:space="preserve">. </w:t>
      </w:r>
      <w:r w:rsidR="00CB4FC2" w:rsidRPr="00433BB0">
        <w:rPr>
          <w:rFonts w:ascii="Arial" w:hAnsi="Arial"/>
          <w:lang w:eastAsia="x-none"/>
        </w:rPr>
        <w:t>Therefor</w:t>
      </w:r>
      <w:r w:rsidR="008D4430" w:rsidRPr="00433BB0">
        <w:rPr>
          <w:rFonts w:ascii="Arial" w:hAnsi="Arial"/>
          <w:lang w:eastAsia="x-none"/>
        </w:rPr>
        <w:t>e, RAN1 should carefully analyse the latency constraints of such signalling</w:t>
      </w:r>
      <w:r w:rsidR="009174B7" w:rsidRPr="00433BB0">
        <w:rPr>
          <w:rFonts w:ascii="Arial" w:hAnsi="Arial"/>
          <w:lang w:eastAsia="x-none"/>
        </w:rPr>
        <w:t xml:space="preserve"> before making any conclusion on its feasibility. </w:t>
      </w:r>
    </w:p>
    <w:p w14:paraId="4E4E2F69" w14:textId="445884A3" w:rsidR="00D00966" w:rsidRPr="0063285C" w:rsidRDefault="00612D2D" w:rsidP="00D00966">
      <w:pPr>
        <w:pStyle w:val="Proposal"/>
      </w:pPr>
      <w:bookmarkStart w:id="12" w:name="_Toc1149968"/>
      <w:r>
        <w:t>Inter-RAT signalling constraints need to be studied by RAN1 before concluding the feasibility of short</w:t>
      </w:r>
      <w:r w:rsidR="00433BB0">
        <w:t>-term TDM solution.</w:t>
      </w:r>
      <w:bookmarkEnd w:id="12"/>
      <w:r w:rsidR="00433BB0">
        <w:t xml:space="preserve"> </w:t>
      </w:r>
    </w:p>
    <w:p w14:paraId="061C1A58" w14:textId="30C26658" w:rsidR="00F63950" w:rsidRDefault="00230D18" w:rsidP="00F63950">
      <w:pPr>
        <w:pStyle w:val="Heading2"/>
      </w:pPr>
      <w:r>
        <w:t>2.2</w:t>
      </w:r>
      <w:r>
        <w:tab/>
      </w:r>
      <w:r w:rsidR="00413ECC" w:rsidRPr="000F7F25">
        <w:t>FDM-based solution</w:t>
      </w:r>
    </w:p>
    <w:p w14:paraId="4C62AA2C" w14:textId="2BA7F8F4" w:rsidR="00942C1E" w:rsidRDefault="00EB1F19" w:rsidP="009D1EBD">
      <w:pPr>
        <w:pStyle w:val="BodyText"/>
      </w:pPr>
      <w:r w:rsidRPr="0083618F">
        <w:rPr>
          <w:lang w:val="en-US"/>
        </w:rPr>
        <w:t>In our view</w:t>
      </w:r>
      <w:r>
        <w:rPr>
          <w:lang w:val="en-US"/>
        </w:rPr>
        <w:t>, for the Tx-Tx coexistence scenario</w:t>
      </w:r>
      <w:r w:rsidR="00891C93">
        <w:t xml:space="preserve"> and dynamic power sharing</w:t>
      </w:r>
      <w:r>
        <w:rPr>
          <w:lang w:val="en-US"/>
        </w:rPr>
        <w:t>, there can be some rules for power sharing between the</w:t>
      </w:r>
      <w:r w:rsidR="00BE07EC">
        <w:rPr>
          <w:lang w:val="en-US"/>
        </w:rPr>
        <w:t xml:space="preserve"> two transmissions. For example, the rules can be defined based some QoS parameters, or on the required/desired communication range of the packets to be transmitted in both RATs, or on </w:t>
      </w:r>
      <w:r w:rsidR="00BE07EC">
        <w:t xml:space="preserve">the congestion level at the RATs. However, </w:t>
      </w:r>
      <w:r w:rsidR="00942C1E">
        <w:t>as with the TDM-based solution (Section</w:t>
      </w:r>
      <w:r w:rsidR="00863A68">
        <w:t xml:space="preserve"> 2.1</w:t>
      </w:r>
      <w:r w:rsidR="00942C1E">
        <w:t>), any such rules need to wait until a stable QoS framework is in place</w:t>
      </w:r>
      <w:r w:rsidR="00891C93">
        <w:t>.</w:t>
      </w:r>
    </w:p>
    <w:p w14:paraId="260E341F" w14:textId="77777777" w:rsidR="00942C1E" w:rsidRDefault="00942C1E" w:rsidP="009D1EBD">
      <w:pPr>
        <w:pStyle w:val="Proposal"/>
        <w:overflowPunct/>
        <w:autoSpaceDE/>
        <w:autoSpaceDN/>
        <w:adjustRightInd/>
        <w:spacing w:line="259" w:lineRule="auto"/>
        <w:textAlignment w:val="auto"/>
        <w:rPr>
          <w:lang w:val="en-US"/>
        </w:rPr>
      </w:pPr>
      <w:bookmarkStart w:id="13" w:name="_Toc1149969"/>
      <w:r>
        <w:rPr>
          <w:lang w:val="en-US"/>
        </w:rPr>
        <w:t>Rules for power</w:t>
      </w:r>
      <w:r w:rsidRPr="00E62A6F">
        <w:rPr>
          <w:lang w:val="en-US"/>
        </w:rPr>
        <w:t xml:space="preserve"> </w:t>
      </w:r>
      <w:r>
        <w:rPr>
          <w:lang w:val="en-US"/>
        </w:rPr>
        <w:t xml:space="preserve">sharing </w:t>
      </w:r>
      <w:r w:rsidRPr="00E62A6F">
        <w:rPr>
          <w:lang w:val="en-US"/>
        </w:rPr>
        <w:t xml:space="preserve">for </w:t>
      </w:r>
      <w:r>
        <w:rPr>
          <w:lang w:val="en-US"/>
        </w:rPr>
        <w:t>F</w:t>
      </w:r>
      <w:r w:rsidRPr="00E62A6F">
        <w:rPr>
          <w:lang w:val="en-US"/>
        </w:rPr>
        <w:t xml:space="preserve">DM-based coexistence </w:t>
      </w:r>
      <w:r>
        <w:rPr>
          <w:lang w:val="en-US"/>
        </w:rPr>
        <w:t>should utilize QoS parameters, communication range, and congestion levels.</w:t>
      </w:r>
      <w:bookmarkEnd w:id="13"/>
      <w:r>
        <w:rPr>
          <w:lang w:val="en-US"/>
        </w:rPr>
        <w:t xml:space="preserve">  </w:t>
      </w:r>
    </w:p>
    <w:p w14:paraId="097935AA" w14:textId="1BB9380D" w:rsidR="002A22C7" w:rsidRPr="00320FA3" w:rsidRDefault="00942C1E" w:rsidP="009D1EBD">
      <w:pPr>
        <w:pStyle w:val="Proposal"/>
        <w:numPr>
          <w:ilvl w:val="1"/>
          <w:numId w:val="3"/>
        </w:numPr>
        <w:tabs>
          <w:tab w:val="clear" w:pos="1440"/>
        </w:tabs>
        <w:overflowPunct/>
        <w:autoSpaceDE/>
        <w:autoSpaceDN/>
        <w:adjustRightInd/>
        <w:spacing w:line="259" w:lineRule="auto"/>
        <w:ind w:left="1701" w:hanging="283"/>
        <w:textAlignment w:val="auto"/>
        <w:rPr>
          <w:lang w:val="en-US"/>
        </w:rPr>
      </w:pPr>
      <w:bookmarkStart w:id="14" w:name="_Toc1149970"/>
      <w:r>
        <w:rPr>
          <w:lang w:val="en-US"/>
        </w:rPr>
        <w:t xml:space="preserve">The use of QoS parameters </w:t>
      </w:r>
      <w:r w:rsidRPr="00E62A6F">
        <w:rPr>
          <w:lang w:val="en-US"/>
        </w:rPr>
        <w:t>is only considered when the QoS framework for NR V2X has been developed.</w:t>
      </w:r>
      <w:bookmarkEnd w:id="14"/>
    </w:p>
    <w:p w14:paraId="5DE07CA3" w14:textId="77777777" w:rsidR="00A35DF6" w:rsidRDefault="00A35DF6" w:rsidP="009D1EBD">
      <w:pPr>
        <w:overflowPunct/>
        <w:autoSpaceDE/>
        <w:autoSpaceDN/>
        <w:adjustRightInd/>
        <w:spacing w:after="0"/>
        <w:jc w:val="both"/>
        <w:textAlignment w:val="auto"/>
        <w:rPr>
          <w:b/>
          <w:lang w:val="en-US"/>
        </w:rPr>
      </w:pPr>
    </w:p>
    <w:p w14:paraId="5300F849" w14:textId="2145E1A9" w:rsidR="00C01F33" w:rsidRPr="00CE0424" w:rsidRDefault="00A01EC3" w:rsidP="009D1EBD">
      <w:pPr>
        <w:pStyle w:val="Heading1"/>
        <w:jc w:val="both"/>
      </w:pPr>
      <w:r>
        <w:t>3</w:t>
      </w:r>
      <w:r>
        <w:tab/>
      </w:r>
      <w:r w:rsidR="00C01F33" w:rsidRPr="00CE0424">
        <w:t>Conclusion</w:t>
      </w:r>
    </w:p>
    <w:p w14:paraId="6741DDDC" w14:textId="77777777" w:rsidR="008E065E" w:rsidRDefault="008E065E" w:rsidP="009D1EB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5EDDD3" w14:textId="5D5BB3C9" w:rsidR="003E4229" w:rsidRDefault="006F6582" w:rsidP="009D1EBD">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055548" w:history="1">
        <w:r w:rsidR="003E4229" w:rsidRPr="008821FC">
          <w:rPr>
            <w:rStyle w:val="Hyperlink"/>
            <w:noProof/>
            <w:lang w:val="en-US"/>
          </w:rPr>
          <w:t>Observation 1</w:t>
        </w:r>
        <w:r w:rsidR="003E4229">
          <w:rPr>
            <w:rFonts w:asciiTheme="minorHAnsi" w:eastAsiaTheme="minorEastAsia" w:hAnsiTheme="minorHAnsi" w:cstheme="minorBidi"/>
            <w:b w:val="0"/>
            <w:noProof/>
            <w:sz w:val="22"/>
            <w:szCs w:val="22"/>
          </w:rPr>
          <w:tab/>
        </w:r>
        <w:r w:rsidR="003E4229" w:rsidRPr="008821FC">
          <w:rPr>
            <w:rStyle w:val="Hyperlink"/>
            <w:noProof/>
            <w:lang w:val="en-US"/>
          </w:rPr>
          <w:t>Both long-term and short-term coordination solutions are needed.</w:t>
        </w:r>
      </w:hyperlink>
    </w:p>
    <w:p w14:paraId="3670C188" w14:textId="696F9931" w:rsidR="003E4229" w:rsidRDefault="005D72FA" w:rsidP="009D1EBD">
      <w:pPr>
        <w:pStyle w:val="TableofFigures"/>
        <w:tabs>
          <w:tab w:val="right" w:leader="dot" w:pos="9629"/>
        </w:tabs>
        <w:jc w:val="both"/>
        <w:rPr>
          <w:rFonts w:asciiTheme="minorHAnsi" w:eastAsiaTheme="minorEastAsia" w:hAnsiTheme="minorHAnsi" w:cstheme="minorBidi"/>
          <w:b w:val="0"/>
          <w:noProof/>
          <w:sz w:val="22"/>
          <w:szCs w:val="22"/>
        </w:rPr>
      </w:pPr>
      <w:hyperlink w:anchor="_Toc1055549" w:history="1">
        <w:r w:rsidR="003E4229" w:rsidRPr="008821FC">
          <w:rPr>
            <w:rStyle w:val="Hyperlink"/>
            <w:noProof/>
            <w:lang w:val="en-US"/>
          </w:rPr>
          <w:t>Observation 2</w:t>
        </w:r>
        <w:r w:rsidR="003E4229">
          <w:rPr>
            <w:rFonts w:asciiTheme="minorHAnsi" w:eastAsiaTheme="minorEastAsia" w:hAnsiTheme="minorHAnsi" w:cstheme="minorBidi"/>
            <w:b w:val="0"/>
            <w:noProof/>
            <w:sz w:val="22"/>
            <w:szCs w:val="22"/>
          </w:rPr>
          <w:tab/>
        </w:r>
        <w:r w:rsidR="003E4229" w:rsidRPr="008821FC">
          <w:rPr>
            <w:rStyle w:val="Hyperlink"/>
            <w:noProof/>
            <w:lang w:val="en-US"/>
          </w:rPr>
          <w:t xml:space="preserve">RAT prioritization for TDM-based coexistence is only </w:t>
        </w:r>
        <w:r w:rsidR="003E4229" w:rsidRPr="008821FC">
          <w:rPr>
            <w:rStyle w:val="Hyperlink"/>
            <w:noProof/>
          </w:rPr>
          <w:t>considered by RAN1 once the QoS framework and related priority mapping is developed by RAN2.</w:t>
        </w:r>
      </w:hyperlink>
    </w:p>
    <w:p w14:paraId="7AFEA5AA" w14:textId="3234F319" w:rsidR="006E1C82" w:rsidRDefault="006F6582" w:rsidP="009D1EBD">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3C5D935" w14:textId="1C78C312" w:rsidR="009D1EBD" w:rsidRDefault="006E1C82"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9964" w:history="1">
        <w:r w:rsidR="009D1EBD" w:rsidRPr="00A33509">
          <w:rPr>
            <w:rStyle w:val="Hyperlink"/>
            <w:rFonts w:cs="Arial"/>
            <w:noProof/>
            <w:lang w:val="en-US"/>
          </w:rPr>
          <w:t>Proposal 1</w:t>
        </w:r>
        <w:r w:rsidR="009D1EBD">
          <w:rPr>
            <w:rFonts w:asciiTheme="minorHAnsi" w:eastAsiaTheme="minorEastAsia" w:hAnsiTheme="minorHAnsi" w:cstheme="minorBidi"/>
            <w:b w:val="0"/>
            <w:noProof/>
            <w:sz w:val="22"/>
            <w:szCs w:val="22"/>
            <w:lang w:val="fi-FI" w:eastAsia="fi-FI"/>
          </w:rPr>
          <w:tab/>
        </w:r>
        <w:r w:rsidR="009D1EBD" w:rsidRPr="00A33509">
          <w:rPr>
            <w:rStyle w:val="Hyperlink"/>
            <w:rFonts w:cs="Arial"/>
            <w:noProof/>
            <w:lang w:val="en-US"/>
          </w:rPr>
          <w:t>The support of TDM-based and/or FDM-based solution is based on UE capability.</w:t>
        </w:r>
      </w:hyperlink>
    </w:p>
    <w:p w14:paraId="382AA351" w14:textId="3AF018D6" w:rsidR="009D1EBD" w:rsidRDefault="009D1EBD"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49965" w:history="1">
        <w:r w:rsidRPr="00A33509">
          <w:rPr>
            <w:rStyle w:val="Hyperlink"/>
            <w:rFonts w:cs="Arial"/>
            <w:noProof/>
            <w:lang w:val="en-US"/>
          </w:rPr>
          <w:t>Proposal 2</w:t>
        </w:r>
        <w:r>
          <w:rPr>
            <w:rFonts w:asciiTheme="minorHAnsi" w:eastAsiaTheme="minorEastAsia" w:hAnsiTheme="minorHAnsi" w:cstheme="minorBidi"/>
            <w:b w:val="0"/>
            <w:noProof/>
            <w:sz w:val="22"/>
            <w:szCs w:val="22"/>
            <w:lang w:val="fi-FI" w:eastAsia="fi-FI"/>
          </w:rPr>
          <w:tab/>
        </w:r>
        <w:r w:rsidRPr="00A33509">
          <w:rPr>
            <w:rStyle w:val="Hyperlink"/>
            <w:rFonts w:cs="Arial"/>
            <w:noProof/>
            <w:lang w:val="en-US"/>
          </w:rPr>
          <w:t>UEs in a network can report their capability to the network to assist the network in configuring a TDM-based or FDM-based approach for the UEs.</w:t>
        </w:r>
      </w:hyperlink>
    </w:p>
    <w:p w14:paraId="56C824D4" w14:textId="176BA777" w:rsidR="009D1EBD" w:rsidRDefault="009D1EBD"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49966" w:history="1">
        <w:r w:rsidRPr="00A33509">
          <w:rPr>
            <w:rStyle w:val="Hyperlink"/>
            <w:noProof/>
          </w:rPr>
          <w:t>Proposal 3</w:t>
        </w:r>
        <w:r>
          <w:rPr>
            <w:rFonts w:asciiTheme="minorHAnsi" w:eastAsiaTheme="minorEastAsia" w:hAnsiTheme="minorHAnsi" w:cstheme="minorBidi"/>
            <w:b w:val="0"/>
            <w:noProof/>
            <w:sz w:val="22"/>
            <w:szCs w:val="22"/>
            <w:lang w:val="fi-FI" w:eastAsia="fi-FI"/>
          </w:rPr>
          <w:tab/>
        </w:r>
        <w:r w:rsidRPr="00A33509">
          <w:rPr>
            <w:rStyle w:val="Hyperlink"/>
            <w:noProof/>
          </w:rPr>
          <w:t>Send an LS to RAN2 asking about the feasibility of inter-RAT prioritization.</w:t>
        </w:r>
      </w:hyperlink>
    </w:p>
    <w:p w14:paraId="5739C104" w14:textId="75C486F7" w:rsidR="009D1EBD" w:rsidRDefault="009D1EBD"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49967" w:history="1">
        <w:r w:rsidRPr="00A33509">
          <w:rPr>
            <w:rStyle w:val="Hyperlink"/>
            <w:noProof/>
          </w:rPr>
          <w:t>Proposal 4</w:t>
        </w:r>
        <w:r>
          <w:rPr>
            <w:rFonts w:asciiTheme="minorHAnsi" w:eastAsiaTheme="minorEastAsia" w:hAnsiTheme="minorHAnsi" w:cstheme="minorBidi"/>
            <w:b w:val="0"/>
            <w:noProof/>
            <w:sz w:val="22"/>
            <w:szCs w:val="22"/>
            <w:lang w:val="fi-FI" w:eastAsia="fi-FI"/>
          </w:rPr>
          <w:tab/>
        </w:r>
        <w:r w:rsidRPr="00A33509">
          <w:rPr>
            <w:rStyle w:val="Hyperlink"/>
            <w:noProof/>
          </w:rPr>
          <w:t>No RAN1 LTE specification change is required by defining inter-RAT prioritization.</w:t>
        </w:r>
      </w:hyperlink>
    </w:p>
    <w:p w14:paraId="5DAE94C9" w14:textId="6E14F182" w:rsidR="009D1EBD" w:rsidRDefault="009D1EBD"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49968" w:history="1">
        <w:r w:rsidRPr="00A33509">
          <w:rPr>
            <w:rStyle w:val="Hyperlink"/>
            <w:noProof/>
          </w:rPr>
          <w:t>Proposal 5</w:t>
        </w:r>
        <w:r>
          <w:rPr>
            <w:rFonts w:asciiTheme="minorHAnsi" w:eastAsiaTheme="minorEastAsia" w:hAnsiTheme="minorHAnsi" w:cstheme="minorBidi"/>
            <w:b w:val="0"/>
            <w:noProof/>
            <w:sz w:val="22"/>
            <w:szCs w:val="22"/>
            <w:lang w:val="fi-FI" w:eastAsia="fi-FI"/>
          </w:rPr>
          <w:tab/>
        </w:r>
        <w:r w:rsidRPr="00A33509">
          <w:rPr>
            <w:rStyle w:val="Hyperlink"/>
            <w:noProof/>
          </w:rPr>
          <w:t>Inter-RAT signalling constraints need to be studied by RAN1 before concluding the feasibility of short-term TDM solution.</w:t>
        </w:r>
      </w:hyperlink>
    </w:p>
    <w:p w14:paraId="0D8ED729" w14:textId="772C0816" w:rsidR="009D1EBD" w:rsidRDefault="009D1EBD" w:rsidP="009D1EBD">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1149969" w:history="1">
        <w:r w:rsidRPr="00A33509">
          <w:rPr>
            <w:rStyle w:val="Hyperlink"/>
            <w:noProof/>
            <w:lang w:val="en-US"/>
          </w:rPr>
          <w:t>Proposal 6</w:t>
        </w:r>
        <w:r>
          <w:rPr>
            <w:rFonts w:asciiTheme="minorHAnsi" w:eastAsiaTheme="minorEastAsia" w:hAnsiTheme="minorHAnsi" w:cstheme="minorBidi"/>
            <w:b w:val="0"/>
            <w:noProof/>
            <w:sz w:val="22"/>
            <w:szCs w:val="22"/>
            <w:lang w:val="fi-FI" w:eastAsia="fi-FI"/>
          </w:rPr>
          <w:tab/>
        </w:r>
        <w:r w:rsidRPr="00A33509">
          <w:rPr>
            <w:rStyle w:val="Hyperlink"/>
            <w:noProof/>
            <w:lang w:val="en-US"/>
          </w:rPr>
          <w:t>Rules for power sharing for FDM-based coexistence should utilize QoS parameters, communication range, and congestion levels.</w:t>
        </w:r>
      </w:hyperlink>
    </w:p>
    <w:p w14:paraId="3BE10833" w14:textId="678E4ACD" w:rsidR="009D1EBD" w:rsidRDefault="009D1EBD" w:rsidP="009D1EBD">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1149970" w:history="1">
        <w:r w:rsidRPr="00A33509">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A33509">
          <w:rPr>
            <w:rStyle w:val="Hyperlink"/>
            <w:noProof/>
            <w:lang w:val="en-US"/>
          </w:rPr>
          <w:t>The use of QoS parameters is only considered when the QoS framework for NR V2X has been developed.</w:t>
        </w:r>
      </w:hyperlink>
    </w:p>
    <w:p w14:paraId="0034D3CC" w14:textId="0E780AF8" w:rsidR="003A7EF3" w:rsidRPr="00CE0424" w:rsidRDefault="006E1C82" w:rsidP="009D1EBD">
      <w:pPr>
        <w:pStyle w:val="BodyText"/>
      </w:pPr>
      <w:r>
        <w:rPr>
          <w:b/>
          <w:bCs/>
          <w:lang w:val="en-US"/>
        </w:rPr>
        <w:fldChar w:fldCharType="end"/>
      </w:r>
      <w:r w:rsidRPr="00CE0424">
        <w:rPr>
          <w:b/>
          <w:bCs/>
        </w:rPr>
        <w:t xml:space="preserve"> </w:t>
      </w:r>
      <w:bookmarkStart w:id="15" w:name="_In-sequence_SDU_delivery"/>
      <w:bookmarkEnd w:id="15"/>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2F5B6" w14:textId="77777777" w:rsidR="005D72FA" w:rsidRDefault="005D72FA">
      <w:r>
        <w:separator/>
      </w:r>
    </w:p>
  </w:endnote>
  <w:endnote w:type="continuationSeparator" w:id="0">
    <w:p w14:paraId="16442499" w14:textId="77777777" w:rsidR="005D72FA" w:rsidRDefault="005D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BCB45" w14:textId="77777777" w:rsidR="005D72FA" w:rsidRDefault="005D72FA">
      <w:r>
        <w:separator/>
      </w:r>
    </w:p>
  </w:footnote>
  <w:footnote w:type="continuationSeparator" w:id="0">
    <w:p w14:paraId="727CB6A9" w14:textId="77777777" w:rsidR="005D72FA" w:rsidRDefault="005D7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8AF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F6A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835ED"/>
    <w:multiLevelType w:val="hybridMultilevel"/>
    <w:tmpl w:val="E4F63C98"/>
    <w:lvl w:ilvl="0" w:tplc="7352A5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7731DE"/>
    <w:multiLevelType w:val="hybridMultilevel"/>
    <w:tmpl w:val="7D803E8E"/>
    <w:lvl w:ilvl="0" w:tplc="4EAC7E5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A87191"/>
    <w:multiLevelType w:val="hybridMultilevel"/>
    <w:tmpl w:val="299A563A"/>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12C205A"/>
    <w:lvl w:ilvl="0" w:tplc="78A864BC">
      <w:start w:val="1"/>
      <w:numFmt w:val="decimal"/>
      <w:pStyle w:val="Proposal"/>
      <w:lvlText w:val="Proposal %1"/>
      <w:lvlJc w:val="left"/>
      <w:pPr>
        <w:tabs>
          <w:tab w:val="num" w:pos="1304"/>
        </w:tabs>
        <w:ind w:left="1304" w:hanging="1304"/>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BB5600"/>
    <w:multiLevelType w:val="hybridMultilevel"/>
    <w:tmpl w:val="092C4AE2"/>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5"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514770"/>
    <w:multiLevelType w:val="hybridMultilevel"/>
    <w:tmpl w:val="1EACF1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A691575"/>
    <w:multiLevelType w:val="hybridMultilevel"/>
    <w:tmpl w:val="C4C656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6"/>
  </w:num>
  <w:num w:numId="3">
    <w:abstractNumId w:val="19"/>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11"/>
  </w:num>
  <w:num w:numId="18">
    <w:abstractNumId w:val="13"/>
  </w:num>
  <w:num w:numId="19">
    <w:abstractNumId w:val="8"/>
  </w:num>
  <w:num w:numId="20">
    <w:abstractNumId w:val="34"/>
  </w:num>
  <w:num w:numId="21">
    <w:abstractNumId w:val="17"/>
  </w:num>
  <w:num w:numId="22">
    <w:abstractNumId w:val="33"/>
  </w:num>
  <w:num w:numId="23">
    <w:abstractNumId w:val="9"/>
  </w:num>
  <w:num w:numId="24">
    <w:abstractNumId w:val="1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3"/>
  </w:num>
  <w:num w:numId="29">
    <w:abstractNumId w:val="19"/>
  </w:num>
  <w:num w:numId="30">
    <w:abstractNumId w:val="19"/>
  </w:num>
  <w:num w:numId="31">
    <w:abstractNumId w:val="4"/>
  </w:num>
  <w:num w:numId="32">
    <w:abstractNumId w:val="12"/>
  </w:num>
  <w:num w:numId="33">
    <w:abstractNumId w:val="32"/>
  </w:num>
  <w:num w:numId="34">
    <w:abstractNumId w:val="29"/>
  </w:num>
  <w:num w:numId="35">
    <w:abstractNumId w:val="25"/>
  </w:num>
  <w:num w:numId="36">
    <w:abstractNumId w:val="7"/>
  </w:num>
  <w:num w:numId="37">
    <w:abstractNumId w:val="20"/>
  </w:num>
  <w:num w:numId="38">
    <w:abstractNumId w:val="10"/>
  </w:num>
  <w:num w:numId="3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C21"/>
    <w:rsid w:val="0002564D"/>
    <w:rsid w:val="00025ECA"/>
    <w:rsid w:val="000325B8"/>
    <w:rsid w:val="00034C15"/>
    <w:rsid w:val="00036BA1"/>
    <w:rsid w:val="000422E2"/>
    <w:rsid w:val="00042D85"/>
    <w:rsid w:val="00042F22"/>
    <w:rsid w:val="000444EF"/>
    <w:rsid w:val="00052A07"/>
    <w:rsid w:val="000534E3"/>
    <w:rsid w:val="0005606A"/>
    <w:rsid w:val="00057117"/>
    <w:rsid w:val="000616E7"/>
    <w:rsid w:val="0006487E"/>
    <w:rsid w:val="00065E1A"/>
    <w:rsid w:val="00067C33"/>
    <w:rsid w:val="00077E5F"/>
    <w:rsid w:val="0008036A"/>
    <w:rsid w:val="00081AE6"/>
    <w:rsid w:val="000855EB"/>
    <w:rsid w:val="00085B52"/>
    <w:rsid w:val="000866F2"/>
    <w:rsid w:val="0009009F"/>
    <w:rsid w:val="00091557"/>
    <w:rsid w:val="000924C1"/>
    <w:rsid w:val="000924F0"/>
    <w:rsid w:val="00092718"/>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4C"/>
    <w:rsid w:val="001526E0"/>
    <w:rsid w:val="001551B5"/>
    <w:rsid w:val="001659C1"/>
    <w:rsid w:val="00173A8E"/>
    <w:rsid w:val="0017502C"/>
    <w:rsid w:val="0018143F"/>
    <w:rsid w:val="00181FF8"/>
    <w:rsid w:val="0018585B"/>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536D"/>
    <w:rsid w:val="002069B2"/>
    <w:rsid w:val="00207FA3"/>
    <w:rsid w:val="00214DA8"/>
    <w:rsid w:val="00215423"/>
    <w:rsid w:val="002158FA"/>
    <w:rsid w:val="00216D5A"/>
    <w:rsid w:val="002204C2"/>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08B"/>
    <w:rsid w:val="002A1D4E"/>
    <w:rsid w:val="002A22C7"/>
    <w:rsid w:val="002A2869"/>
    <w:rsid w:val="002B24D6"/>
    <w:rsid w:val="002C30CA"/>
    <w:rsid w:val="002C41E6"/>
    <w:rsid w:val="002D071A"/>
    <w:rsid w:val="002D34B2"/>
    <w:rsid w:val="002D48B0"/>
    <w:rsid w:val="002D5B37"/>
    <w:rsid w:val="002D72B3"/>
    <w:rsid w:val="002D7637"/>
    <w:rsid w:val="002E17F2"/>
    <w:rsid w:val="002E7CAE"/>
    <w:rsid w:val="002F2771"/>
    <w:rsid w:val="002F37A9"/>
    <w:rsid w:val="002F7E7A"/>
    <w:rsid w:val="00301CE6"/>
    <w:rsid w:val="0030256B"/>
    <w:rsid w:val="0030501F"/>
    <w:rsid w:val="00307BA1"/>
    <w:rsid w:val="00311702"/>
    <w:rsid w:val="00311E82"/>
    <w:rsid w:val="00313FD6"/>
    <w:rsid w:val="003143BD"/>
    <w:rsid w:val="00315363"/>
    <w:rsid w:val="003203ED"/>
    <w:rsid w:val="00320FA3"/>
    <w:rsid w:val="00322C9F"/>
    <w:rsid w:val="00324D23"/>
    <w:rsid w:val="00330F03"/>
    <w:rsid w:val="00331751"/>
    <w:rsid w:val="00334579"/>
    <w:rsid w:val="00335858"/>
    <w:rsid w:val="00336BDA"/>
    <w:rsid w:val="00342BD7"/>
    <w:rsid w:val="00344F3E"/>
    <w:rsid w:val="00346DB5"/>
    <w:rsid w:val="003477B1"/>
    <w:rsid w:val="00357380"/>
    <w:rsid w:val="003602D9"/>
    <w:rsid w:val="003604CE"/>
    <w:rsid w:val="00370E47"/>
    <w:rsid w:val="003742AC"/>
    <w:rsid w:val="00377CE1"/>
    <w:rsid w:val="00385BF0"/>
    <w:rsid w:val="003939FF"/>
    <w:rsid w:val="003A2223"/>
    <w:rsid w:val="003A2A0F"/>
    <w:rsid w:val="003A3BF3"/>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893"/>
    <w:rsid w:val="003D5B1F"/>
    <w:rsid w:val="003E15FA"/>
    <w:rsid w:val="003E4229"/>
    <w:rsid w:val="003E55E4"/>
    <w:rsid w:val="003E74E3"/>
    <w:rsid w:val="003F05C7"/>
    <w:rsid w:val="003F2CD4"/>
    <w:rsid w:val="003F6BBE"/>
    <w:rsid w:val="004000E8"/>
    <w:rsid w:val="00402E2B"/>
    <w:rsid w:val="0040512B"/>
    <w:rsid w:val="004054D8"/>
    <w:rsid w:val="00405CA5"/>
    <w:rsid w:val="00407CD3"/>
    <w:rsid w:val="00410134"/>
    <w:rsid w:val="00410B72"/>
    <w:rsid w:val="00410F18"/>
    <w:rsid w:val="0041263E"/>
    <w:rsid w:val="00413AAC"/>
    <w:rsid w:val="00413E92"/>
    <w:rsid w:val="00413ECC"/>
    <w:rsid w:val="0041408D"/>
    <w:rsid w:val="00421105"/>
    <w:rsid w:val="00422AA4"/>
    <w:rsid w:val="004242F4"/>
    <w:rsid w:val="00427248"/>
    <w:rsid w:val="00433BB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4EC"/>
    <w:rsid w:val="00477768"/>
    <w:rsid w:val="00486F1D"/>
    <w:rsid w:val="00492BC5"/>
    <w:rsid w:val="004964F1"/>
    <w:rsid w:val="004A16BC"/>
    <w:rsid w:val="004A2B94"/>
    <w:rsid w:val="004B5655"/>
    <w:rsid w:val="004B6F6A"/>
    <w:rsid w:val="004B7C0C"/>
    <w:rsid w:val="004C3898"/>
    <w:rsid w:val="004C755D"/>
    <w:rsid w:val="004D36B1"/>
    <w:rsid w:val="004D7EBD"/>
    <w:rsid w:val="004E2680"/>
    <w:rsid w:val="004E28F9"/>
    <w:rsid w:val="004E462E"/>
    <w:rsid w:val="004E56DC"/>
    <w:rsid w:val="004E76F4"/>
    <w:rsid w:val="004F02B7"/>
    <w:rsid w:val="004F0B4E"/>
    <w:rsid w:val="004F0B6C"/>
    <w:rsid w:val="004F2078"/>
    <w:rsid w:val="004F2707"/>
    <w:rsid w:val="004F4DA3"/>
    <w:rsid w:val="00506557"/>
    <w:rsid w:val="0050677A"/>
    <w:rsid w:val="005108D8"/>
    <w:rsid w:val="005116F9"/>
    <w:rsid w:val="005153A7"/>
    <w:rsid w:val="005219CF"/>
    <w:rsid w:val="00534B59"/>
    <w:rsid w:val="00536759"/>
    <w:rsid w:val="00537C62"/>
    <w:rsid w:val="00541212"/>
    <w:rsid w:val="00546970"/>
    <w:rsid w:val="00554E19"/>
    <w:rsid w:val="0056121F"/>
    <w:rsid w:val="00561BE6"/>
    <w:rsid w:val="00572505"/>
    <w:rsid w:val="00582809"/>
    <w:rsid w:val="0058798C"/>
    <w:rsid w:val="005900FA"/>
    <w:rsid w:val="005935A4"/>
    <w:rsid w:val="005948C2"/>
    <w:rsid w:val="00595DCA"/>
    <w:rsid w:val="0059779B"/>
    <w:rsid w:val="005A209A"/>
    <w:rsid w:val="005A553E"/>
    <w:rsid w:val="005A662D"/>
    <w:rsid w:val="005B1409"/>
    <w:rsid w:val="005B35D7"/>
    <w:rsid w:val="005B392A"/>
    <w:rsid w:val="005B3AA3"/>
    <w:rsid w:val="005B6F83"/>
    <w:rsid w:val="005C74FB"/>
    <w:rsid w:val="005D1602"/>
    <w:rsid w:val="005D72FA"/>
    <w:rsid w:val="005E385F"/>
    <w:rsid w:val="005E5B81"/>
    <w:rsid w:val="005F2CB1"/>
    <w:rsid w:val="005F3025"/>
    <w:rsid w:val="005F618C"/>
    <w:rsid w:val="005F70BD"/>
    <w:rsid w:val="0060283C"/>
    <w:rsid w:val="00604F14"/>
    <w:rsid w:val="00611B83"/>
    <w:rsid w:val="00612D2D"/>
    <w:rsid w:val="00613257"/>
    <w:rsid w:val="00615BCE"/>
    <w:rsid w:val="00620A71"/>
    <w:rsid w:val="00620D80"/>
    <w:rsid w:val="006234A6"/>
    <w:rsid w:val="00630001"/>
    <w:rsid w:val="006311B3"/>
    <w:rsid w:val="0063284C"/>
    <w:rsid w:val="0063285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EF3"/>
    <w:rsid w:val="006B1816"/>
    <w:rsid w:val="006B2099"/>
    <w:rsid w:val="006B2952"/>
    <w:rsid w:val="006B50CF"/>
    <w:rsid w:val="006C03B8"/>
    <w:rsid w:val="006C5EC9"/>
    <w:rsid w:val="006C6059"/>
    <w:rsid w:val="006C7522"/>
    <w:rsid w:val="006D21B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A08"/>
    <w:rsid w:val="00715B9A"/>
    <w:rsid w:val="007257D0"/>
    <w:rsid w:val="00726EA6"/>
    <w:rsid w:val="00727208"/>
    <w:rsid w:val="00727680"/>
    <w:rsid w:val="0073268D"/>
    <w:rsid w:val="007348B1"/>
    <w:rsid w:val="007362A6"/>
    <w:rsid w:val="00736D7D"/>
    <w:rsid w:val="00740E58"/>
    <w:rsid w:val="007445A0"/>
    <w:rsid w:val="0074524B"/>
    <w:rsid w:val="00747D8B"/>
    <w:rsid w:val="00751228"/>
    <w:rsid w:val="00751F84"/>
    <w:rsid w:val="00754758"/>
    <w:rsid w:val="007571E1"/>
    <w:rsid w:val="007604B2"/>
    <w:rsid w:val="00760D10"/>
    <w:rsid w:val="00765281"/>
    <w:rsid w:val="00766BAD"/>
    <w:rsid w:val="007729A2"/>
    <w:rsid w:val="007755F2"/>
    <w:rsid w:val="00776971"/>
    <w:rsid w:val="00780A80"/>
    <w:rsid w:val="0078177E"/>
    <w:rsid w:val="0078304C"/>
    <w:rsid w:val="00783673"/>
    <w:rsid w:val="00785490"/>
    <w:rsid w:val="00790799"/>
    <w:rsid w:val="007925EA"/>
    <w:rsid w:val="00793CD8"/>
    <w:rsid w:val="00795C92"/>
    <w:rsid w:val="00796231"/>
    <w:rsid w:val="007A1CB3"/>
    <w:rsid w:val="007A306F"/>
    <w:rsid w:val="007A43A6"/>
    <w:rsid w:val="007A58A6"/>
    <w:rsid w:val="007B389D"/>
    <w:rsid w:val="007B3D2D"/>
    <w:rsid w:val="007B50AE"/>
    <w:rsid w:val="007B51DF"/>
    <w:rsid w:val="007C05DD"/>
    <w:rsid w:val="007C2458"/>
    <w:rsid w:val="007C3D18"/>
    <w:rsid w:val="007C455A"/>
    <w:rsid w:val="007C60BF"/>
    <w:rsid w:val="007C6A07"/>
    <w:rsid w:val="007C75A1"/>
    <w:rsid w:val="007C77A5"/>
    <w:rsid w:val="007D04E5"/>
    <w:rsid w:val="007D5901"/>
    <w:rsid w:val="007D6CAB"/>
    <w:rsid w:val="007D7526"/>
    <w:rsid w:val="007E206B"/>
    <w:rsid w:val="007E4610"/>
    <w:rsid w:val="007E4715"/>
    <w:rsid w:val="007E505B"/>
    <w:rsid w:val="007E7091"/>
    <w:rsid w:val="0080063E"/>
    <w:rsid w:val="0080116A"/>
    <w:rsid w:val="00803BCE"/>
    <w:rsid w:val="00803FAE"/>
    <w:rsid w:val="0080605F"/>
    <w:rsid w:val="00806A77"/>
    <w:rsid w:val="00807786"/>
    <w:rsid w:val="00810325"/>
    <w:rsid w:val="00811FCB"/>
    <w:rsid w:val="008158D6"/>
    <w:rsid w:val="00817196"/>
    <w:rsid w:val="008235DB"/>
    <w:rsid w:val="00824AB4"/>
    <w:rsid w:val="00825C42"/>
    <w:rsid w:val="00825D25"/>
    <w:rsid w:val="00827D6F"/>
    <w:rsid w:val="008302F4"/>
    <w:rsid w:val="00835068"/>
    <w:rsid w:val="00835F53"/>
    <w:rsid w:val="0083618F"/>
    <w:rsid w:val="008376AC"/>
    <w:rsid w:val="00843099"/>
    <w:rsid w:val="008444E8"/>
    <w:rsid w:val="00844E80"/>
    <w:rsid w:val="00846FE7"/>
    <w:rsid w:val="00856911"/>
    <w:rsid w:val="00863A68"/>
    <w:rsid w:val="00865E3B"/>
    <w:rsid w:val="008677FD"/>
    <w:rsid w:val="008706D4"/>
    <w:rsid w:val="00870F8A"/>
    <w:rsid w:val="008719A4"/>
    <w:rsid w:val="00871D23"/>
    <w:rsid w:val="00872918"/>
    <w:rsid w:val="00874312"/>
    <w:rsid w:val="0087437C"/>
    <w:rsid w:val="00875CD7"/>
    <w:rsid w:val="00876B4D"/>
    <w:rsid w:val="00877E43"/>
    <w:rsid w:val="00877F18"/>
    <w:rsid w:val="00891C93"/>
    <w:rsid w:val="008941E3"/>
    <w:rsid w:val="00894A88"/>
    <w:rsid w:val="00895386"/>
    <w:rsid w:val="00897BA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430"/>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8C6"/>
    <w:rsid w:val="009139D9"/>
    <w:rsid w:val="00914AD8"/>
    <w:rsid w:val="00916079"/>
    <w:rsid w:val="009174B7"/>
    <w:rsid w:val="00917CE9"/>
    <w:rsid w:val="00920BF2"/>
    <w:rsid w:val="00922010"/>
    <w:rsid w:val="00931BD9"/>
    <w:rsid w:val="00932015"/>
    <w:rsid w:val="009368F3"/>
    <w:rsid w:val="00941636"/>
    <w:rsid w:val="00941898"/>
    <w:rsid w:val="00942C1E"/>
    <w:rsid w:val="00943742"/>
    <w:rsid w:val="00945C05"/>
    <w:rsid w:val="00945DB6"/>
    <w:rsid w:val="00946945"/>
    <w:rsid w:val="00947713"/>
    <w:rsid w:val="00950836"/>
    <w:rsid w:val="00950DE7"/>
    <w:rsid w:val="00953920"/>
    <w:rsid w:val="00953D47"/>
    <w:rsid w:val="0095681E"/>
    <w:rsid w:val="009572D4"/>
    <w:rsid w:val="00961921"/>
    <w:rsid w:val="0096430A"/>
    <w:rsid w:val="00964ACB"/>
    <w:rsid w:val="0096554B"/>
    <w:rsid w:val="0096584A"/>
    <w:rsid w:val="009703D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1C1"/>
    <w:rsid w:val="009B1F30"/>
    <w:rsid w:val="009B3AC2"/>
    <w:rsid w:val="009B4DF4"/>
    <w:rsid w:val="009B564E"/>
    <w:rsid w:val="009B7003"/>
    <w:rsid w:val="009B7E87"/>
    <w:rsid w:val="009C0169"/>
    <w:rsid w:val="009C403E"/>
    <w:rsid w:val="009C749E"/>
    <w:rsid w:val="009D1EBD"/>
    <w:rsid w:val="009D4FF0"/>
    <w:rsid w:val="009D703C"/>
    <w:rsid w:val="009D718F"/>
    <w:rsid w:val="009E068F"/>
    <w:rsid w:val="009E14E0"/>
    <w:rsid w:val="009E2582"/>
    <w:rsid w:val="009E35DB"/>
    <w:rsid w:val="009E47A3"/>
    <w:rsid w:val="009E642D"/>
    <w:rsid w:val="009F08F3"/>
    <w:rsid w:val="009F344F"/>
    <w:rsid w:val="00A01453"/>
    <w:rsid w:val="00A01EC3"/>
    <w:rsid w:val="00A031D8"/>
    <w:rsid w:val="00A048A8"/>
    <w:rsid w:val="00A04F49"/>
    <w:rsid w:val="00A13E54"/>
    <w:rsid w:val="00A15A0B"/>
    <w:rsid w:val="00A17F63"/>
    <w:rsid w:val="00A2193B"/>
    <w:rsid w:val="00A2351A"/>
    <w:rsid w:val="00A264A9"/>
    <w:rsid w:val="00A26DCF"/>
    <w:rsid w:val="00A27785"/>
    <w:rsid w:val="00A30187"/>
    <w:rsid w:val="00A3448A"/>
    <w:rsid w:val="00A35DF6"/>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618"/>
    <w:rsid w:val="00AA016F"/>
    <w:rsid w:val="00AA1ED6"/>
    <w:rsid w:val="00AA51D6"/>
    <w:rsid w:val="00AB0BC8"/>
    <w:rsid w:val="00AB11CA"/>
    <w:rsid w:val="00AB14D9"/>
    <w:rsid w:val="00AB4AB8"/>
    <w:rsid w:val="00AB52E2"/>
    <w:rsid w:val="00AB655E"/>
    <w:rsid w:val="00AC007F"/>
    <w:rsid w:val="00AC2ECD"/>
    <w:rsid w:val="00AC3119"/>
    <w:rsid w:val="00AC49FB"/>
    <w:rsid w:val="00AC5A10"/>
    <w:rsid w:val="00AD0AA3"/>
    <w:rsid w:val="00AD2ED0"/>
    <w:rsid w:val="00AD3F94"/>
    <w:rsid w:val="00AD4A5A"/>
    <w:rsid w:val="00AE27AC"/>
    <w:rsid w:val="00AE40E0"/>
    <w:rsid w:val="00AE43D5"/>
    <w:rsid w:val="00AE4DBA"/>
    <w:rsid w:val="00AE4F07"/>
    <w:rsid w:val="00AE65AD"/>
    <w:rsid w:val="00AF1C5D"/>
    <w:rsid w:val="00AF42D7"/>
    <w:rsid w:val="00B006FE"/>
    <w:rsid w:val="00B007CB"/>
    <w:rsid w:val="00B02AA9"/>
    <w:rsid w:val="00B02FA3"/>
    <w:rsid w:val="00B05084"/>
    <w:rsid w:val="00B11EC3"/>
    <w:rsid w:val="00B157F9"/>
    <w:rsid w:val="00B20256"/>
    <w:rsid w:val="00B20D09"/>
    <w:rsid w:val="00B2763F"/>
    <w:rsid w:val="00B27AAC"/>
    <w:rsid w:val="00B30929"/>
    <w:rsid w:val="00B323D9"/>
    <w:rsid w:val="00B372AA"/>
    <w:rsid w:val="00B40445"/>
    <w:rsid w:val="00B409E0"/>
    <w:rsid w:val="00B41888"/>
    <w:rsid w:val="00B45A52"/>
    <w:rsid w:val="00B46175"/>
    <w:rsid w:val="00B548B7"/>
    <w:rsid w:val="00B55BE7"/>
    <w:rsid w:val="00B664C7"/>
    <w:rsid w:val="00B739F6"/>
    <w:rsid w:val="00B81A6C"/>
    <w:rsid w:val="00B85DE5"/>
    <w:rsid w:val="00B90F73"/>
    <w:rsid w:val="00B93B59"/>
    <w:rsid w:val="00B9406A"/>
    <w:rsid w:val="00B95862"/>
    <w:rsid w:val="00BA2280"/>
    <w:rsid w:val="00BA2A08"/>
    <w:rsid w:val="00BA56D2"/>
    <w:rsid w:val="00BA76E0"/>
    <w:rsid w:val="00BB10A7"/>
    <w:rsid w:val="00BB2A25"/>
    <w:rsid w:val="00BB51E9"/>
    <w:rsid w:val="00BB6E3B"/>
    <w:rsid w:val="00BC0FDC"/>
    <w:rsid w:val="00BC129F"/>
    <w:rsid w:val="00BC3053"/>
    <w:rsid w:val="00BC4D2E"/>
    <w:rsid w:val="00BD48AC"/>
    <w:rsid w:val="00BD5F1A"/>
    <w:rsid w:val="00BE07EC"/>
    <w:rsid w:val="00BE1234"/>
    <w:rsid w:val="00BE2FA6"/>
    <w:rsid w:val="00BE333F"/>
    <w:rsid w:val="00BE7406"/>
    <w:rsid w:val="00BE7603"/>
    <w:rsid w:val="00BF3279"/>
    <w:rsid w:val="00BF4BCF"/>
    <w:rsid w:val="00BF74C7"/>
    <w:rsid w:val="00C015F1"/>
    <w:rsid w:val="00C01F33"/>
    <w:rsid w:val="00C02CC6"/>
    <w:rsid w:val="00C040F7"/>
    <w:rsid w:val="00C044AB"/>
    <w:rsid w:val="00C05706"/>
    <w:rsid w:val="00C07377"/>
    <w:rsid w:val="00C10478"/>
    <w:rsid w:val="00C10D1C"/>
    <w:rsid w:val="00C12107"/>
    <w:rsid w:val="00C14D4B"/>
    <w:rsid w:val="00C15300"/>
    <w:rsid w:val="00C154BB"/>
    <w:rsid w:val="00C15C11"/>
    <w:rsid w:val="00C15E03"/>
    <w:rsid w:val="00C2015A"/>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005"/>
    <w:rsid w:val="00C81568"/>
    <w:rsid w:val="00C9027A"/>
    <w:rsid w:val="00C9068E"/>
    <w:rsid w:val="00C93814"/>
    <w:rsid w:val="00C93C4B"/>
    <w:rsid w:val="00C944AB"/>
    <w:rsid w:val="00C95B40"/>
    <w:rsid w:val="00CA1ED8"/>
    <w:rsid w:val="00CA5229"/>
    <w:rsid w:val="00CB1F63"/>
    <w:rsid w:val="00CB4FC2"/>
    <w:rsid w:val="00CB7170"/>
    <w:rsid w:val="00CC0258"/>
    <w:rsid w:val="00CC040E"/>
    <w:rsid w:val="00CC111F"/>
    <w:rsid w:val="00CC2011"/>
    <w:rsid w:val="00CC3EA0"/>
    <w:rsid w:val="00CC6D85"/>
    <w:rsid w:val="00CC7B45"/>
    <w:rsid w:val="00CD1188"/>
    <w:rsid w:val="00CD2ED1"/>
    <w:rsid w:val="00CD337B"/>
    <w:rsid w:val="00CE0424"/>
    <w:rsid w:val="00CE0BF7"/>
    <w:rsid w:val="00CE4454"/>
    <w:rsid w:val="00CE7561"/>
    <w:rsid w:val="00CF1354"/>
    <w:rsid w:val="00CF3B1F"/>
    <w:rsid w:val="00CF3BF6"/>
    <w:rsid w:val="00CF625B"/>
    <w:rsid w:val="00CF687E"/>
    <w:rsid w:val="00D00966"/>
    <w:rsid w:val="00D0349B"/>
    <w:rsid w:val="00D10249"/>
    <w:rsid w:val="00D115C3"/>
    <w:rsid w:val="00D11897"/>
    <w:rsid w:val="00D13135"/>
    <w:rsid w:val="00D13E4E"/>
    <w:rsid w:val="00D234A2"/>
    <w:rsid w:val="00D239A7"/>
    <w:rsid w:val="00D23F47"/>
    <w:rsid w:val="00D25085"/>
    <w:rsid w:val="00D36E71"/>
    <w:rsid w:val="00D37D87"/>
    <w:rsid w:val="00D40B33"/>
    <w:rsid w:val="00D41EBC"/>
    <w:rsid w:val="00D4318F"/>
    <w:rsid w:val="00D438BF"/>
    <w:rsid w:val="00D440F8"/>
    <w:rsid w:val="00D467F2"/>
    <w:rsid w:val="00D47D6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C21"/>
    <w:rsid w:val="00E110E7"/>
    <w:rsid w:val="00E11B20"/>
    <w:rsid w:val="00E1226C"/>
    <w:rsid w:val="00E17FA2"/>
    <w:rsid w:val="00E22330"/>
    <w:rsid w:val="00E30B5A"/>
    <w:rsid w:val="00E3123D"/>
    <w:rsid w:val="00E31461"/>
    <w:rsid w:val="00E31D43"/>
    <w:rsid w:val="00E32405"/>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838"/>
    <w:rsid w:val="00EA7A41"/>
    <w:rsid w:val="00EB077B"/>
    <w:rsid w:val="00EB1F19"/>
    <w:rsid w:val="00EB4EA2"/>
    <w:rsid w:val="00EC24D5"/>
    <w:rsid w:val="00EC27C6"/>
    <w:rsid w:val="00EC28BD"/>
    <w:rsid w:val="00EC4207"/>
    <w:rsid w:val="00EC5653"/>
    <w:rsid w:val="00EC5ED7"/>
    <w:rsid w:val="00EC71CE"/>
    <w:rsid w:val="00ED1006"/>
    <w:rsid w:val="00EF18FE"/>
    <w:rsid w:val="00EF1F3A"/>
    <w:rsid w:val="00EF5787"/>
    <w:rsid w:val="00EF60D0"/>
    <w:rsid w:val="00EF66BB"/>
    <w:rsid w:val="00F0414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81A"/>
    <w:rsid w:val="00F55516"/>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389"/>
    <w:rsid w:val="00FA5D7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2B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2CDB7-F12A-4C1C-AAE3-B170807C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1014</Words>
  <Characters>8215</Characters>
  <Application>Microsoft Office Word</Application>
  <DocSecurity>0</DocSecurity>
  <Lines>68</Lines>
  <Paragraphs>18</Paragraphs>
  <ScaleCrop>false</ScaleCrop>
  <Company/>
  <LinksUpToDate>false</LinksUpToDate>
  <CharactersWithSpaces>9211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2019-02-15T17:06:00Z</dcterms:created>
  <dcterms:modified xsi:type="dcterms:W3CDTF">2019-02-15T17:06:00Z</dcterms:modified>
  <cp:category/>
</cp:coreProperties>
</file>